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4120F" w14:textId="77777777" w:rsidR="00E205CB" w:rsidRPr="00F632CE" w:rsidRDefault="001A32B9" w:rsidP="008E7510">
      <w:pPr>
        <w:pStyle w:val="Ttulo1"/>
        <w:numPr>
          <w:ilvl w:val="0"/>
          <w:numId w:val="0"/>
        </w:numPr>
        <w:ind w:left="432" w:hanging="432"/>
        <w:jc w:val="center"/>
        <w:rPr>
          <w:rFonts w:cs="Arial"/>
          <w:szCs w:val="22"/>
        </w:rPr>
      </w:pPr>
      <w:r w:rsidRPr="00F632CE">
        <w:rPr>
          <w:rFonts w:cs="Arial"/>
          <w:szCs w:val="22"/>
        </w:rPr>
        <w:t xml:space="preserve">INFORME DE SEGUIMIENTO AL </w:t>
      </w:r>
      <w:r w:rsidR="0052304C" w:rsidRPr="00F632CE">
        <w:rPr>
          <w:rFonts w:cs="Arial"/>
          <w:szCs w:val="22"/>
        </w:rPr>
        <w:t>MAPA DE RIESGOS DE CORRUPCIÓN</w:t>
      </w:r>
      <w:r w:rsidR="008E7510" w:rsidRPr="00F632CE">
        <w:rPr>
          <w:rFonts w:cs="Arial"/>
          <w:szCs w:val="22"/>
        </w:rPr>
        <w:t xml:space="preserve"> </w:t>
      </w:r>
      <w:r w:rsidRPr="00F632CE">
        <w:rPr>
          <w:rFonts w:cs="Arial"/>
          <w:szCs w:val="22"/>
        </w:rPr>
        <w:t>DEL MINISTERIO DE HACIENDA Y CRÉDITO PÚBLICO</w:t>
      </w:r>
      <w:r w:rsidR="007B5941" w:rsidRPr="00F632CE">
        <w:rPr>
          <w:rFonts w:cs="Arial"/>
          <w:szCs w:val="22"/>
        </w:rPr>
        <w:t xml:space="preserve"> - </w:t>
      </w:r>
      <w:r w:rsidR="00080C72" w:rsidRPr="00F632CE">
        <w:rPr>
          <w:rFonts w:cs="Arial"/>
          <w:szCs w:val="22"/>
        </w:rPr>
        <w:t>SEGUNDO</w:t>
      </w:r>
      <w:r w:rsidR="007B5941" w:rsidRPr="00F632CE">
        <w:rPr>
          <w:rFonts w:cs="Arial"/>
          <w:szCs w:val="22"/>
        </w:rPr>
        <w:t xml:space="preserve"> CUATRIMESTRE DE 2021</w:t>
      </w:r>
    </w:p>
    <w:p w14:paraId="4B857F9F" w14:textId="77777777" w:rsidR="00B525E2" w:rsidRPr="00703C25" w:rsidRDefault="00B525E2" w:rsidP="00B525E2">
      <w:pPr>
        <w:rPr>
          <w:rFonts w:ascii="Arial" w:hAnsi="Arial" w:cs="Arial"/>
          <w:sz w:val="2"/>
          <w:szCs w:val="2"/>
        </w:rPr>
      </w:pPr>
    </w:p>
    <w:p w14:paraId="5B7DDD1D" w14:textId="77777777" w:rsidR="001742A8" w:rsidRPr="00F632CE" w:rsidRDefault="00833EB6" w:rsidP="001742A8">
      <w:pPr>
        <w:pStyle w:val="Ttulo1"/>
        <w:rPr>
          <w:rFonts w:cs="Arial"/>
          <w:szCs w:val="22"/>
        </w:rPr>
      </w:pPr>
      <w:r w:rsidRPr="00F632CE">
        <w:rPr>
          <w:rFonts w:cs="Arial"/>
          <w:szCs w:val="22"/>
        </w:rPr>
        <w:t>INTRODUCCIÓN</w:t>
      </w:r>
    </w:p>
    <w:p w14:paraId="06988B7D" w14:textId="77777777" w:rsidR="00E205CB" w:rsidRPr="00F632CE" w:rsidRDefault="00E205CB" w:rsidP="00E205CB">
      <w:pPr>
        <w:rPr>
          <w:rFonts w:ascii="Arial" w:hAnsi="Arial" w:cs="Arial"/>
          <w:sz w:val="2"/>
          <w:szCs w:val="2"/>
        </w:rPr>
      </w:pPr>
    </w:p>
    <w:p w14:paraId="252BE7BE" w14:textId="77777777" w:rsidR="00B8757D" w:rsidRPr="00F632CE" w:rsidRDefault="00DA3CD8" w:rsidP="001742A8">
      <w:pPr>
        <w:jc w:val="both"/>
        <w:rPr>
          <w:rFonts w:ascii="Arial" w:hAnsi="Arial" w:cs="Arial"/>
          <w:lang w:val="es-MX"/>
        </w:rPr>
      </w:pPr>
      <w:r w:rsidRPr="00F632CE">
        <w:rPr>
          <w:rFonts w:ascii="Arial" w:hAnsi="Arial" w:cs="Arial"/>
        </w:rPr>
        <w:t>La Oficina de Control Intern</w:t>
      </w:r>
      <w:r w:rsidR="006A2D14" w:rsidRPr="00F632CE">
        <w:rPr>
          <w:rFonts w:ascii="Arial" w:hAnsi="Arial" w:cs="Arial"/>
        </w:rPr>
        <w:t xml:space="preserve">o </w:t>
      </w:r>
      <w:r w:rsidR="005D60A5" w:rsidRPr="00F632CE">
        <w:rPr>
          <w:rFonts w:ascii="Arial" w:hAnsi="Arial" w:cs="Arial"/>
        </w:rPr>
        <w:t xml:space="preserve">(En adelante OCI) </w:t>
      </w:r>
      <w:r w:rsidR="006A2D14" w:rsidRPr="00F632CE">
        <w:rPr>
          <w:rFonts w:ascii="Arial" w:hAnsi="Arial" w:cs="Arial"/>
        </w:rPr>
        <w:t xml:space="preserve">en cumplimiento del Plan Anual de Auditoría 2021 del Ministerio de Hacienda y Crédito Público (En adelante MHCP) </w:t>
      </w:r>
      <w:r w:rsidR="00DC62C5" w:rsidRPr="00F632CE">
        <w:rPr>
          <w:rFonts w:ascii="Arial" w:hAnsi="Arial" w:cs="Arial"/>
        </w:rPr>
        <w:t xml:space="preserve"> y en el marco del seguimiento al </w:t>
      </w:r>
      <w:r w:rsidR="00184D47" w:rsidRPr="00F632CE">
        <w:rPr>
          <w:rFonts w:ascii="Arial" w:hAnsi="Arial" w:cs="Arial"/>
        </w:rPr>
        <w:t>Plan Anticorrupción y de Atención al Ciudadano</w:t>
      </w:r>
      <w:r w:rsidR="006B196A" w:rsidRPr="00F632CE">
        <w:rPr>
          <w:rFonts w:ascii="Arial" w:hAnsi="Arial" w:cs="Arial"/>
        </w:rPr>
        <w:t xml:space="preserve"> (En adelante PAAC)</w:t>
      </w:r>
      <w:r w:rsidR="00DC62C5" w:rsidRPr="00F632CE">
        <w:rPr>
          <w:rFonts w:ascii="Arial" w:hAnsi="Arial" w:cs="Arial"/>
        </w:rPr>
        <w:t xml:space="preserve"> realizó </w:t>
      </w:r>
      <w:r w:rsidR="008D1D12" w:rsidRPr="00F632CE">
        <w:rPr>
          <w:rFonts w:ascii="Arial" w:hAnsi="Arial" w:cs="Arial"/>
        </w:rPr>
        <w:t xml:space="preserve">revisión </w:t>
      </w:r>
      <w:r w:rsidR="00C47C69" w:rsidRPr="00F632CE">
        <w:rPr>
          <w:rFonts w:ascii="Arial" w:hAnsi="Arial" w:cs="Arial"/>
        </w:rPr>
        <w:t>del</w:t>
      </w:r>
      <w:r w:rsidR="00DC62C5" w:rsidRPr="00F632CE">
        <w:rPr>
          <w:rFonts w:ascii="Arial" w:hAnsi="Arial" w:cs="Arial"/>
        </w:rPr>
        <w:t xml:space="preserve"> </w:t>
      </w:r>
      <w:r w:rsidR="00351879" w:rsidRPr="00F632CE">
        <w:rPr>
          <w:rFonts w:ascii="Arial" w:hAnsi="Arial" w:cs="Arial"/>
        </w:rPr>
        <w:t>Mapa de Riesgos de Corrupción</w:t>
      </w:r>
      <w:r w:rsidR="00DA5450" w:rsidRPr="00F632CE">
        <w:rPr>
          <w:rFonts w:ascii="Arial" w:hAnsi="Arial" w:cs="Arial"/>
        </w:rPr>
        <w:t xml:space="preserve"> (En adelante MRC)</w:t>
      </w:r>
      <w:r w:rsidR="001C34A1" w:rsidRPr="00F632CE">
        <w:rPr>
          <w:rFonts w:ascii="Arial" w:hAnsi="Arial" w:cs="Arial"/>
        </w:rPr>
        <w:t>,</w:t>
      </w:r>
      <w:r w:rsidR="00184D47" w:rsidRPr="00F632CE">
        <w:rPr>
          <w:rFonts w:ascii="Arial" w:hAnsi="Arial" w:cs="Arial"/>
        </w:rPr>
        <w:t xml:space="preserve"> </w:t>
      </w:r>
      <w:r w:rsidR="006F7FBC" w:rsidRPr="00F632CE">
        <w:rPr>
          <w:rFonts w:ascii="Arial" w:hAnsi="Arial" w:cs="Arial"/>
        </w:rPr>
        <w:t xml:space="preserve">correspondiente al periodo comprendido entre el </w:t>
      </w:r>
      <w:r w:rsidR="00184D47" w:rsidRPr="00F632CE">
        <w:rPr>
          <w:rFonts w:ascii="Arial" w:hAnsi="Arial" w:cs="Arial"/>
        </w:rPr>
        <w:t>1</w:t>
      </w:r>
      <w:r w:rsidR="006F7FBC" w:rsidRPr="00F632CE">
        <w:rPr>
          <w:rFonts w:ascii="Arial" w:hAnsi="Arial" w:cs="Arial"/>
        </w:rPr>
        <w:t xml:space="preserve"> de </w:t>
      </w:r>
      <w:r w:rsidR="005D60A5" w:rsidRPr="00F632CE">
        <w:rPr>
          <w:rFonts w:ascii="Arial" w:hAnsi="Arial" w:cs="Arial"/>
        </w:rPr>
        <w:t xml:space="preserve">mayo </w:t>
      </w:r>
      <w:r w:rsidR="00184D47" w:rsidRPr="00F632CE">
        <w:rPr>
          <w:rFonts w:ascii="Arial" w:hAnsi="Arial" w:cs="Arial"/>
        </w:rPr>
        <w:t>al 3</w:t>
      </w:r>
      <w:r w:rsidR="005D60A5" w:rsidRPr="00F632CE">
        <w:rPr>
          <w:rFonts w:ascii="Arial" w:hAnsi="Arial" w:cs="Arial"/>
        </w:rPr>
        <w:t>1</w:t>
      </w:r>
      <w:r w:rsidR="00184D47" w:rsidRPr="00F632CE">
        <w:rPr>
          <w:rFonts w:ascii="Arial" w:hAnsi="Arial" w:cs="Arial"/>
        </w:rPr>
        <w:t xml:space="preserve"> de </w:t>
      </w:r>
      <w:r w:rsidR="005D60A5" w:rsidRPr="00F632CE">
        <w:rPr>
          <w:rFonts w:ascii="Arial" w:hAnsi="Arial" w:cs="Arial"/>
        </w:rPr>
        <w:t xml:space="preserve">agosto </w:t>
      </w:r>
      <w:r w:rsidR="00C6487D" w:rsidRPr="00F632CE">
        <w:rPr>
          <w:rFonts w:ascii="Arial" w:hAnsi="Arial" w:cs="Arial"/>
        </w:rPr>
        <w:t xml:space="preserve">de </w:t>
      </w:r>
      <w:r w:rsidR="006F7FBC" w:rsidRPr="00F632CE">
        <w:rPr>
          <w:rFonts w:ascii="Arial" w:hAnsi="Arial" w:cs="Arial"/>
        </w:rPr>
        <w:t>2021</w:t>
      </w:r>
      <w:r w:rsidR="00184D47" w:rsidRPr="00F632CE">
        <w:rPr>
          <w:rFonts w:ascii="Arial" w:hAnsi="Arial" w:cs="Arial"/>
        </w:rPr>
        <w:t xml:space="preserve"> </w:t>
      </w:r>
      <w:r w:rsidR="00C6487D" w:rsidRPr="00F632CE">
        <w:rPr>
          <w:rFonts w:ascii="Arial" w:hAnsi="Arial" w:cs="Arial"/>
        </w:rPr>
        <w:t xml:space="preserve">- </w:t>
      </w:r>
      <w:r w:rsidR="003732AB" w:rsidRPr="00F632CE">
        <w:rPr>
          <w:rFonts w:ascii="Arial" w:hAnsi="Arial" w:cs="Arial"/>
        </w:rPr>
        <w:t>segundo</w:t>
      </w:r>
      <w:r w:rsidR="00184D47" w:rsidRPr="00F632CE">
        <w:rPr>
          <w:rFonts w:ascii="Arial" w:hAnsi="Arial" w:cs="Arial"/>
        </w:rPr>
        <w:t xml:space="preserve"> cuatrimestre</w:t>
      </w:r>
      <w:r w:rsidR="008457F7" w:rsidRPr="00F632CE">
        <w:rPr>
          <w:rFonts w:ascii="Arial" w:hAnsi="Arial" w:cs="Arial"/>
        </w:rPr>
        <w:t xml:space="preserve">, </w:t>
      </w:r>
      <w:r w:rsidR="00A54AC2" w:rsidRPr="00F632CE">
        <w:rPr>
          <w:rFonts w:ascii="Arial" w:hAnsi="Arial" w:cs="Arial"/>
        </w:rPr>
        <w:t>de conformidad</w:t>
      </w:r>
      <w:r w:rsidR="00C6487D" w:rsidRPr="00F632CE">
        <w:rPr>
          <w:rFonts w:ascii="Arial" w:hAnsi="Arial" w:cs="Arial"/>
        </w:rPr>
        <w:t xml:space="preserve"> lo establecido en el</w:t>
      </w:r>
      <w:r w:rsidR="00C22D97" w:rsidRPr="00F632CE">
        <w:rPr>
          <w:rFonts w:ascii="Arial" w:hAnsi="Arial" w:cs="Arial"/>
        </w:rPr>
        <w:t xml:space="preserve"> artículo </w:t>
      </w:r>
      <w:r w:rsidR="000D7F1C" w:rsidRPr="00F632CE">
        <w:rPr>
          <w:rFonts w:ascii="Arial" w:hAnsi="Arial" w:cs="Arial"/>
        </w:rPr>
        <w:t>2.1.4.6 del</w:t>
      </w:r>
      <w:r w:rsidR="00C6487D" w:rsidRPr="00F632CE">
        <w:rPr>
          <w:rFonts w:ascii="Arial" w:hAnsi="Arial" w:cs="Arial"/>
        </w:rPr>
        <w:t xml:space="preserve"> Decreto 124 de 2016 que insta que </w:t>
      </w:r>
      <w:r w:rsidR="009B2895" w:rsidRPr="00F632CE">
        <w:rPr>
          <w:rFonts w:ascii="Arial" w:hAnsi="Arial" w:cs="Arial"/>
        </w:rPr>
        <w:t xml:space="preserve">mencionado </w:t>
      </w:r>
      <w:r w:rsidR="00D65AF0" w:rsidRPr="00F632CE">
        <w:rPr>
          <w:rFonts w:ascii="Arial" w:hAnsi="Arial" w:cs="Arial"/>
        </w:rPr>
        <w:t>seguimiento al cumplimiento de las orientaciones y obligaciones derivadas de</w:t>
      </w:r>
      <w:r w:rsidR="00351879" w:rsidRPr="00F632CE">
        <w:rPr>
          <w:rFonts w:ascii="Arial" w:hAnsi="Arial" w:cs="Arial"/>
        </w:rPr>
        <w:t xml:space="preserve">l </w:t>
      </w:r>
      <w:r w:rsidR="00D65AF0" w:rsidRPr="00F632CE">
        <w:rPr>
          <w:rFonts w:ascii="Arial" w:hAnsi="Arial" w:cs="Arial"/>
        </w:rPr>
        <w:t xml:space="preserve">documento </w:t>
      </w:r>
      <w:r w:rsidR="007E77E0" w:rsidRPr="00F632CE">
        <w:rPr>
          <w:rFonts w:ascii="Arial" w:hAnsi="Arial" w:cs="Arial"/>
          <w:i/>
          <w:iCs/>
          <w:lang w:val="es-MX"/>
        </w:rPr>
        <w:t>Guía para la Gestión del Riesgo de Corrupción</w:t>
      </w:r>
      <w:r w:rsidR="007E77E0" w:rsidRPr="00F632CE">
        <w:rPr>
          <w:rFonts w:ascii="Arial" w:hAnsi="Arial" w:cs="Arial"/>
          <w:lang w:val="es-MX"/>
        </w:rPr>
        <w:t xml:space="preserve"> de 2015 </w:t>
      </w:r>
      <w:r w:rsidR="00351879" w:rsidRPr="00F632CE">
        <w:rPr>
          <w:rFonts w:ascii="Arial" w:hAnsi="Arial" w:cs="Arial"/>
          <w:lang w:val="es-MX"/>
        </w:rPr>
        <w:t>de la Presidencia de la República</w:t>
      </w:r>
      <w:r w:rsidR="00E85233" w:rsidRPr="00F632CE">
        <w:rPr>
          <w:rFonts w:ascii="Arial" w:hAnsi="Arial" w:cs="Arial"/>
          <w:lang w:val="es-MX"/>
        </w:rPr>
        <w:t xml:space="preserve">, </w:t>
      </w:r>
      <w:r w:rsidR="004660C9" w:rsidRPr="00F632CE">
        <w:rPr>
          <w:rFonts w:ascii="Arial" w:hAnsi="Arial" w:cs="Arial"/>
          <w:lang w:val="es-MX"/>
        </w:rPr>
        <w:t>anexo</w:t>
      </w:r>
      <w:r w:rsidR="00351879" w:rsidRPr="00F632CE">
        <w:rPr>
          <w:rFonts w:ascii="Arial" w:hAnsi="Arial" w:cs="Arial"/>
          <w:lang w:val="es-MX"/>
        </w:rPr>
        <w:t xml:space="preserve"> </w:t>
      </w:r>
      <w:r w:rsidR="004660C9" w:rsidRPr="00F632CE">
        <w:rPr>
          <w:rFonts w:ascii="Arial" w:hAnsi="Arial" w:cs="Arial"/>
          <w:lang w:val="es-MX"/>
        </w:rPr>
        <w:t>de citado decreto</w:t>
      </w:r>
      <w:r w:rsidR="007E77E0" w:rsidRPr="00F632CE">
        <w:rPr>
          <w:rFonts w:ascii="Arial" w:hAnsi="Arial" w:cs="Arial"/>
          <w:lang w:val="es-MX"/>
        </w:rPr>
        <w:t xml:space="preserve">, corresponde a las </w:t>
      </w:r>
      <w:r w:rsidR="004660C9" w:rsidRPr="00F632CE">
        <w:rPr>
          <w:rFonts w:ascii="Arial" w:hAnsi="Arial" w:cs="Arial"/>
          <w:lang w:val="es-MX"/>
        </w:rPr>
        <w:t>O</w:t>
      </w:r>
      <w:r w:rsidR="007E77E0" w:rsidRPr="00F632CE">
        <w:rPr>
          <w:rFonts w:ascii="Arial" w:hAnsi="Arial" w:cs="Arial"/>
          <w:lang w:val="es-MX"/>
        </w:rPr>
        <w:t>ficinas de Control Interno o quienes hagan sus veces</w:t>
      </w:r>
      <w:r w:rsidR="00C344AE" w:rsidRPr="00F632CE">
        <w:rPr>
          <w:rFonts w:ascii="Arial" w:hAnsi="Arial" w:cs="Arial"/>
          <w:lang w:val="es-MX"/>
        </w:rPr>
        <w:t>;</w:t>
      </w:r>
      <w:r w:rsidR="007E77E0" w:rsidRPr="00F632CE">
        <w:rPr>
          <w:rFonts w:ascii="Arial" w:hAnsi="Arial" w:cs="Arial"/>
          <w:lang w:val="es-MX"/>
        </w:rPr>
        <w:t xml:space="preserve"> </w:t>
      </w:r>
      <w:r w:rsidR="00471A17" w:rsidRPr="00F632CE">
        <w:rPr>
          <w:rFonts w:ascii="Arial" w:hAnsi="Arial" w:cs="Arial"/>
        </w:rPr>
        <w:t>por lo que se llevó a cabo la verificación,</w:t>
      </w:r>
      <w:r w:rsidR="000A6EC3" w:rsidRPr="00F632CE">
        <w:rPr>
          <w:rFonts w:ascii="Arial" w:hAnsi="Arial" w:cs="Arial"/>
        </w:rPr>
        <w:t xml:space="preserve"> con el </w:t>
      </w:r>
      <w:r w:rsidR="008D2963" w:rsidRPr="00F632CE">
        <w:rPr>
          <w:rFonts w:ascii="Arial" w:hAnsi="Arial" w:cs="Arial"/>
        </w:rPr>
        <w:t>propósito</w:t>
      </w:r>
      <w:r w:rsidR="008457F7" w:rsidRPr="00F632CE">
        <w:rPr>
          <w:rFonts w:ascii="Arial" w:hAnsi="Arial" w:cs="Arial"/>
        </w:rPr>
        <w:t xml:space="preserve"> de identificar oportunidades de mejora que </w:t>
      </w:r>
      <w:r w:rsidR="00801EDD" w:rsidRPr="00F632CE">
        <w:rPr>
          <w:rFonts w:ascii="Arial" w:hAnsi="Arial" w:cs="Arial"/>
        </w:rPr>
        <w:t xml:space="preserve">fortalezcan </w:t>
      </w:r>
      <w:r w:rsidR="009712EC" w:rsidRPr="00F632CE">
        <w:rPr>
          <w:rFonts w:ascii="Arial" w:hAnsi="Arial" w:cs="Arial"/>
        </w:rPr>
        <w:t xml:space="preserve">la </w:t>
      </w:r>
      <w:r w:rsidR="009D417C" w:rsidRPr="00F632CE">
        <w:rPr>
          <w:rFonts w:ascii="Arial" w:hAnsi="Arial" w:cs="Arial"/>
        </w:rPr>
        <w:t>administración</w:t>
      </w:r>
      <w:r w:rsidR="009712EC" w:rsidRPr="00F632CE">
        <w:rPr>
          <w:rFonts w:ascii="Arial" w:hAnsi="Arial" w:cs="Arial"/>
        </w:rPr>
        <w:t xml:space="preserve"> de riesgos al interior de la </w:t>
      </w:r>
      <w:r w:rsidR="00293CDC" w:rsidRPr="00F632CE">
        <w:rPr>
          <w:rFonts w:ascii="Arial" w:hAnsi="Arial" w:cs="Arial"/>
        </w:rPr>
        <w:t>Entidad.</w:t>
      </w:r>
      <w:r w:rsidR="0039326F" w:rsidRPr="00F632CE">
        <w:rPr>
          <w:rFonts w:ascii="Arial" w:hAnsi="Arial" w:cs="Arial"/>
          <w:color w:val="FF0000"/>
        </w:rPr>
        <w:t xml:space="preserve"> </w:t>
      </w:r>
    </w:p>
    <w:p w14:paraId="206639BE" w14:textId="77777777" w:rsidR="00610610" w:rsidRPr="00F632CE" w:rsidRDefault="00C059BE" w:rsidP="00610610">
      <w:pPr>
        <w:pStyle w:val="Ttulo1"/>
        <w:rPr>
          <w:rFonts w:cs="Arial"/>
          <w:szCs w:val="22"/>
        </w:rPr>
      </w:pPr>
      <w:r w:rsidRPr="00F632CE">
        <w:rPr>
          <w:rFonts w:cs="Arial"/>
          <w:szCs w:val="22"/>
        </w:rPr>
        <w:t>ANÁLISIS, OBSERVACIONES Y RECOMENDACIONES</w:t>
      </w:r>
    </w:p>
    <w:p w14:paraId="0CC20013" w14:textId="77777777" w:rsidR="00FD718E" w:rsidRPr="00703C25" w:rsidRDefault="00FD718E" w:rsidP="00FD718E">
      <w:pPr>
        <w:rPr>
          <w:rFonts w:ascii="Arial" w:hAnsi="Arial" w:cs="Arial"/>
          <w:sz w:val="6"/>
          <w:szCs w:val="6"/>
        </w:rPr>
      </w:pPr>
    </w:p>
    <w:p w14:paraId="09898869" w14:textId="77777777" w:rsidR="00D01413" w:rsidRPr="00F632CE" w:rsidRDefault="00B82AD5" w:rsidP="00CF4424">
      <w:pPr>
        <w:pStyle w:val="Ttulo2"/>
        <w:rPr>
          <w:rFonts w:cs="Arial"/>
          <w:szCs w:val="22"/>
        </w:rPr>
      </w:pPr>
      <w:r w:rsidRPr="00F632CE">
        <w:rPr>
          <w:rFonts w:cs="Arial"/>
          <w:szCs w:val="22"/>
        </w:rPr>
        <w:t xml:space="preserve">Contextualización </w:t>
      </w:r>
      <w:r w:rsidR="000451C9" w:rsidRPr="00F632CE">
        <w:rPr>
          <w:rFonts w:cs="Arial"/>
          <w:szCs w:val="22"/>
        </w:rPr>
        <w:t>desarrollo eje</w:t>
      </w:r>
      <w:r w:rsidR="004F7C91" w:rsidRPr="00F632CE">
        <w:rPr>
          <w:rFonts w:cs="Arial"/>
          <w:szCs w:val="22"/>
        </w:rPr>
        <w:t>rcicio de seguimiento</w:t>
      </w:r>
    </w:p>
    <w:p w14:paraId="7C42DDC3" w14:textId="77777777" w:rsidR="00E102E0" w:rsidRPr="00F632CE" w:rsidRDefault="00E102E0" w:rsidP="00E102E0">
      <w:pPr>
        <w:rPr>
          <w:rFonts w:ascii="Arial" w:hAnsi="Arial" w:cs="Arial"/>
          <w:sz w:val="6"/>
          <w:szCs w:val="6"/>
        </w:rPr>
      </w:pPr>
    </w:p>
    <w:p w14:paraId="2C4275D5" w14:textId="77777777" w:rsidR="009608F9" w:rsidRPr="00F632CE" w:rsidRDefault="009608F9" w:rsidP="00D22603">
      <w:pPr>
        <w:jc w:val="both"/>
        <w:rPr>
          <w:rFonts w:ascii="Arial" w:hAnsi="Arial" w:cs="Arial"/>
          <w:lang w:val="es-MX"/>
        </w:rPr>
      </w:pPr>
      <w:r w:rsidRPr="00F632CE">
        <w:rPr>
          <w:rFonts w:ascii="Arial" w:hAnsi="Arial" w:cs="Arial"/>
        </w:rPr>
        <w:t>Para el desarrollo del seguimiento al</w:t>
      </w:r>
      <w:r w:rsidR="00E13202" w:rsidRPr="00F632CE">
        <w:rPr>
          <w:rFonts w:ascii="Arial" w:hAnsi="Arial" w:cs="Arial"/>
        </w:rPr>
        <w:t xml:space="preserve"> </w:t>
      </w:r>
      <w:r w:rsidR="008525FD" w:rsidRPr="00F632CE">
        <w:rPr>
          <w:rFonts w:ascii="Arial" w:hAnsi="Arial" w:cs="Arial"/>
        </w:rPr>
        <w:t xml:space="preserve">MRC </w:t>
      </w:r>
      <w:r w:rsidR="004557BD" w:rsidRPr="00F632CE">
        <w:rPr>
          <w:rFonts w:ascii="Arial" w:hAnsi="Arial" w:cs="Arial"/>
        </w:rPr>
        <w:t>2021</w:t>
      </w:r>
      <w:r w:rsidRPr="00F632CE">
        <w:rPr>
          <w:rFonts w:ascii="Arial" w:hAnsi="Arial" w:cs="Arial"/>
        </w:rPr>
        <w:t xml:space="preserve">, se </w:t>
      </w:r>
      <w:r w:rsidR="00B24ACC" w:rsidRPr="00F632CE">
        <w:rPr>
          <w:rFonts w:ascii="Arial" w:hAnsi="Arial" w:cs="Arial"/>
        </w:rPr>
        <w:t xml:space="preserve">tuvo en cuenta lo instado en </w:t>
      </w:r>
      <w:r w:rsidR="008525FD" w:rsidRPr="00F632CE">
        <w:rPr>
          <w:rFonts w:ascii="Arial" w:hAnsi="Arial" w:cs="Arial"/>
        </w:rPr>
        <w:t>la</w:t>
      </w:r>
      <w:r w:rsidR="00B24ACC" w:rsidRPr="00F632CE">
        <w:rPr>
          <w:rFonts w:ascii="Arial" w:hAnsi="Arial" w:cs="Arial"/>
        </w:rPr>
        <w:t xml:space="preserve"> </w:t>
      </w:r>
      <w:r w:rsidR="008525FD" w:rsidRPr="00F632CE">
        <w:rPr>
          <w:rFonts w:ascii="Arial" w:hAnsi="Arial" w:cs="Arial"/>
          <w:i/>
          <w:iCs/>
          <w:lang w:val="es-MX"/>
        </w:rPr>
        <w:t>Guía para la Gestión del Riesgo de Corrupción</w:t>
      </w:r>
      <w:r w:rsidR="008525FD" w:rsidRPr="00F632CE">
        <w:rPr>
          <w:rFonts w:ascii="Arial" w:hAnsi="Arial" w:cs="Arial"/>
          <w:lang w:val="es-MX"/>
        </w:rPr>
        <w:t xml:space="preserve"> de 2015 de la Presidencia de la República</w:t>
      </w:r>
      <w:r w:rsidR="007C4F7E" w:rsidRPr="00F632CE">
        <w:rPr>
          <w:rFonts w:ascii="Arial" w:hAnsi="Arial" w:cs="Arial"/>
          <w:lang w:val="es-MX"/>
        </w:rPr>
        <w:t>,</w:t>
      </w:r>
      <w:r w:rsidR="00A9695D" w:rsidRPr="00F632CE">
        <w:rPr>
          <w:rFonts w:ascii="Arial" w:hAnsi="Arial" w:cs="Arial"/>
          <w:lang w:val="es-MX"/>
        </w:rPr>
        <w:t xml:space="preserve"> </w:t>
      </w:r>
      <w:r w:rsidR="00FE246B" w:rsidRPr="00F632CE">
        <w:rPr>
          <w:rFonts w:ascii="Arial" w:hAnsi="Arial" w:cs="Arial"/>
          <w:lang w:val="es-MX"/>
        </w:rPr>
        <w:t>la</w:t>
      </w:r>
      <w:r w:rsidR="00A9695D" w:rsidRPr="00F632CE">
        <w:rPr>
          <w:rFonts w:ascii="Arial" w:hAnsi="Arial" w:cs="Arial"/>
          <w:lang w:val="es-MX"/>
        </w:rPr>
        <w:t xml:space="preserve"> cual establece que la Oficina de Control Interno debe realizar seguimiento </w:t>
      </w:r>
      <w:r w:rsidR="00FE246B" w:rsidRPr="00F632CE">
        <w:rPr>
          <w:rFonts w:ascii="Arial" w:hAnsi="Arial" w:cs="Arial"/>
          <w:lang w:val="es-MX"/>
        </w:rPr>
        <w:t xml:space="preserve">analizando causas, riesgos de corrupción y </w:t>
      </w:r>
      <w:r w:rsidR="006362F3" w:rsidRPr="00F632CE">
        <w:rPr>
          <w:rFonts w:ascii="Arial" w:hAnsi="Arial" w:cs="Arial"/>
          <w:lang w:val="es-MX"/>
        </w:rPr>
        <w:t>efectividad de los controles</w:t>
      </w:r>
      <w:r w:rsidR="009339F3" w:rsidRPr="00F632CE">
        <w:rPr>
          <w:rFonts w:ascii="Arial" w:hAnsi="Arial" w:cs="Arial"/>
          <w:lang w:val="es-MX"/>
        </w:rPr>
        <w:t>,</w:t>
      </w:r>
      <w:r w:rsidR="00DE4135" w:rsidRPr="00F632CE">
        <w:rPr>
          <w:rFonts w:ascii="Arial" w:hAnsi="Arial" w:cs="Arial"/>
          <w:lang w:val="es-MX"/>
        </w:rPr>
        <w:t xml:space="preserve"> </w:t>
      </w:r>
      <w:r w:rsidR="00A9695D" w:rsidRPr="00F632CE">
        <w:rPr>
          <w:rFonts w:ascii="Arial" w:hAnsi="Arial" w:cs="Arial"/>
          <w:lang w:val="es-MX"/>
        </w:rPr>
        <w:t>tres (3) veces en el año</w:t>
      </w:r>
      <w:r w:rsidR="008A045F" w:rsidRPr="00F632CE">
        <w:rPr>
          <w:rFonts w:ascii="Arial" w:hAnsi="Arial" w:cs="Arial"/>
          <w:lang w:val="es-MX"/>
        </w:rPr>
        <w:t>:</w:t>
      </w:r>
      <w:r w:rsidR="00A9695D" w:rsidRPr="00F632CE">
        <w:rPr>
          <w:rFonts w:ascii="Arial" w:hAnsi="Arial" w:cs="Arial"/>
          <w:lang w:val="es-MX"/>
        </w:rPr>
        <w:t xml:space="preserve"> </w:t>
      </w:r>
      <w:r w:rsidR="00D563F5" w:rsidRPr="00F632CE">
        <w:rPr>
          <w:rFonts w:ascii="Arial" w:hAnsi="Arial" w:cs="Arial"/>
          <w:lang w:val="es-MX"/>
        </w:rPr>
        <w:t>C</w:t>
      </w:r>
      <w:r w:rsidR="00A9695D" w:rsidRPr="00F632CE">
        <w:rPr>
          <w:rFonts w:ascii="Arial" w:hAnsi="Arial" w:cs="Arial"/>
          <w:lang w:val="es-MX"/>
        </w:rPr>
        <w:t>on corte a 30 de abril, 31 de agosto y 31 de diciembre</w:t>
      </w:r>
      <w:r w:rsidR="00912A56" w:rsidRPr="00F632CE">
        <w:rPr>
          <w:rFonts w:ascii="Arial" w:hAnsi="Arial" w:cs="Arial"/>
          <w:lang w:val="es-MX"/>
        </w:rPr>
        <w:t xml:space="preserve">, </w:t>
      </w:r>
      <w:r w:rsidR="00D563F5" w:rsidRPr="00F632CE">
        <w:rPr>
          <w:rFonts w:ascii="Arial" w:hAnsi="Arial" w:cs="Arial"/>
          <w:lang w:val="es-MX"/>
        </w:rPr>
        <w:t xml:space="preserve">dentro de los </w:t>
      </w:r>
      <w:r w:rsidR="00E43DAF" w:rsidRPr="00F632CE">
        <w:rPr>
          <w:rFonts w:ascii="Arial" w:hAnsi="Arial" w:cs="Arial"/>
          <w:lang w:val="es-MX"/>
        </w:rPr>
        <w:t xml:space="preserve">diez (10) </w:t>
      </w:r>
      <w:r w:rsidR="000F6A41" w:rsidRPr="00F632CE">
        <w:rPr>
          <w:rFonts w:ascii="Arial" w:hAnsi="Arial" w:cs="Arial"/>
          <w:lang w:val="es-MX"/>
        </w:rPr>
        <w:t>días hábiles posteriores</w:t>
      </w:r>
      <w:r w:rsidR="009B3123" w:rsidRPr="00F632CE">
        <w:rPr>
          <w:rFonts w:ascii="Arial" w:hAnsi="Arial" w:cs="Arial"/>
          <w:lang w:val="es-MX"/>
        </w:rPr>
        <w:t xml:space="preserve"> a </w:t>
      </w:r>
      <w:r w:rsidR="002312A0" w:rsidRPr="00F632CE">
        <w:rPr>
          <w:rFonts w:ascii="Arial" w:hAnsi="Arial" w:cs="Arial"/>
          <w:lang w:val="es-MX"/>
        </w:rPr>
        <w:t>citadas</w:t>
      </w:r>
      <w:r w:rsidR="009B3123" w:rsidRPr="00F632CE">
        <w:rPr>
          <w:rFonts w:ascii="Arial" w:hAnsi="Arial" w:cs="Arial"/>
          <w:lang w:val="es-MX"/>
        </w:rPr>
        <w:t xml:space="preserve"> fechas</w:t>
      </w:r>
      <w:r w:rsidR="00E43DAF" w:rsidRPr="00F632CE">
        <w:rPr>
          <w:rFonts w:ascii="Arial" w:hAnsi="Arial" w:cs="Arial"/>
          <w:lang w:val="es-MX"/>
        </w:rPr>
        <w:t>, por lo que</w:t>
      </w:r>
      <w:r w:rsidR="0078405D" w:rsidRPr="00F632CE">
        <w:rPr>
          <w:rFonts w:ascii="Arial" w:hAnsi="Arial" w:cs="Arial"/>
          <w:lang w:val="es-MX"/>
        </w:rPr>
        <w:t xml:space="preserve"> el </w:t>
      </w:r>
      <w:r w:rsidR="00E43DAF" w:rsidRPr="00F632CE">
        <w:rPr>
          <w:rFonts w:ascii="Arial" w:hAnsi="Arial" w:cs="Arial"/>
          <w:lang w:val="es-MX"/>
        </w:rPr>
        <w:t xml:space="preserve"> aseguramiento </w:t>
      </w:r>
      <w:r w:rsidR="0078405D" w:rsidRPr="00F632CE">
        <w:rPr>
          <w:rFonts w:ascii="Arial" w:hAnsi="Arial" w:cs="Arial"/>
          <w:lang w:val="es-MX"/>
        </w:rPr>
        <w:t xml:space="preserve">ejecutado </w:t>
      </w:r>
      <w:r w:rsidR="00E43DAF" w:rsidRPr="00F632CE">
        <w:rPr>
          <w:rFonts w:ascii="Arial" w:hAnsi="Arial" w:cs="Arial"/>
          <w:lang w:val="es-MX"/>
        </w:rPr>
        <w:t>corresponde a la verificación con corte a 3</w:t>
      </w:r>
      <w:r w:rsidR="00C43159" w:rsidRPr="00F632CE">
        <w:rPr>
          <w:rFonts w:ascii="Arial" w:hAnsi="Arial" w:cs="Arial"/>
          <w:lang w:val="es-MX"/>
        </w:rPr>
        <w:t>1</w:t>
      </w:r>
      <w:r w:rsidR="00E43DAF" w:rsidRPr="00F632CE">
        <w:rPr>
          <w:rFonts w:ascii="Arial" w:hAnsi="Arial" w:cs="Arial"/>
          <w:lang w:val="es-MX"/>
        </w:rPr>
        <w:t xml:space="preserve"> de </w:t>
      </w:r>
      <w:r w:rsidR="00C43159" w:rsidRPr="00F632CE">
        <w:rPr>
          <w:rFonts w:ascii="Arial" w:hAnsi="Arial" w:cs="Arial"/>
          <w:lang w:val="es-MX"/>
        </w:rPr>
        <w:t>agosto</w:t>
      </w:r>
      <w:r w:rsidR="00E43DAF" w:rsidRPr="00F632CE">
        <w:rPr>
          <w:rFonts w:ascii="Arial" w:hAnsi="Arial" w:cs="Arial"/>
          <w:lang w:val="es-MX"/>
        </w:rPr>
        <w:t xml:space="preserve"> de la vigencia 2021. </w:t>
      </w:r>
    </w:p>
    <w:p w14:paraId="0CAF26C0" w14:textId="77777777" w:rsidR="00321695" w:rsidRPr="00F632CE" w:rsidRDefault="00333752" w:rsidP="00333752">
      <w:pPr>
        <w:jc w:val="both"/>
        <w:rPr>
          <w:rFonts w:ascii="Arial" w:hAnsi="Arial" w:cs="Arial"/>
        </w:rPr>
      </w:pPr>
      <w:r w:rsidRPr="00F632CE">
        <w:rPr>
          <w:rFonts w:ascii="Arial" w:hAnsi="Arial" w:cs="Arial"/>
        </w:rPr>
        <w:t xml:space="preserve">El MRC 2021 del MHCP está integrado por cuarenta y tres (43) </w:t>
      </w:r>
      <w:r w:rsidR="00C30EA2" w:rsidRPr="00F632CE">
        <w:rPr>
          <w:rFonts w:ascii="Arial" w:hAnsi="Arial" w:cs="Arial"/>
        </w:rPr>
        <w:t xml:space="preserve">riesgos y ciento treinta y cinco (135) </w:t>
      </w:r>
      <w:r w:rsidR="00865C14" w:rsidRPr="00F632CE">
        <w:rPr>
          <w:rFonts w:ascii="Arial" w:hAnsi="Arial" w:cs="Arial"/>
        </w:rPr>
        <w:t xml:space="preserve">controles </w:t>
      </w:r>
      <w:r w:rsidR="009639E3" w:rsidRPr="00F632CE">
        <w:rPr>
          <w:rFonts w:ascii="Arial" w:hAnsi="Arial" w:cs="Arial"/>
        </w:rPr>
        <w:t xml:space="preserve">de acuerdo con el reporte descargado del Sistema de Monitoreo </w:t>
      </w:r>
      <w:r w:rsidR="00865C14" w:rsidRPr="00F632CE">
        <w:rPr>
          <w:rFonts w:ascii="Arial" w:hAnsi="Arial" w:cs="Arial"/>
        </w:rPr>
        <w:t>de l</w:t>
      </w:r>
      <w:r w:rsidR="009639E3" w:rsidRPr="00F632CE">
        <w:rPr>
          <w:rFonts w:ascii="Arial" w:hAnsi="Arial" w:cs="Arial"/>
        </w:rPr>
        <w:t>a Gestión Integral (En adelante SMGI)</w:t>
      </w:r>
      <w:r w:rsidR="00A36E71" w:rsidRPr="00F632CE">
        <w:rPr>
          <w:rFonts w:ascii="Arial" w:hAnsi="Arial" w:cs="Arial"/>
        </w:rPr>
        <w:t xml:space="preserve">, </w:t>
      </w:r>
      <w:r w:rsidR="00EF345C" w:rsidRPr="00F632CE">
        <w:rPr>
          <w:rFonts w:ascii="Arial" w:hAnsi="Arial" w:cs="Arial"/>
        </w:rPr>
        <w:t>por lo que</w:t>
      </w:r>
      <w:r w:rsidR="00374848" w:rsidRPr="00F632CE">
        <w:rPr>
          <w:rFonts w:ascii="Arial" w:hAnsi="Arial" w:cs="Arial"/>
        </w:rPr>
        <w:t xml:space="preserve"> </w:t>
      </w:r>
      <w:r w:rsidR="00EF345C" w:rsidRPr="00F632CE">
        <w:rPr>
          <w:rFonts w:ascii="Arial" w:hAnsi="Arial" w:cs="Arial"/>
        </w:rPr>
        <w:t>para este seguimiento se revisa</w:t>
      </w:r>
      <w:r w:rsidR="00153906" w:rsidRPr="00F632CE">
        <w:rPr>
          <w:rFonts w:ascii="Arial" w:hAnsi="Arial" w:cs="Arial"/>
        </w:rPr>
        <w:t>ron</w:t>
      </w:r>
      <w:r w:rsidR="00EF345C" w:rsidRPr="00F632CE">
        <w:rPr>
          <w:rFonts w:ascii="Arial" w:hAnsi="Arial" w:cs="Arial"/>
        </w:rPr>
        <w:t xml:space="preserve"> quince (15) </w:t>
      </w:r>
      <w:r w:rsidR="008E33EE" w:rsidRPr="00F632CE">
        <w:rPr>
          <w:rFonts w:ascii="Arial" w:hAnsi="Arial" w:cs="Arial"/>
        </w:rPr>
        <w:t>riesgos</w:t>
      </w:r>
      <w:r w:rsidR="0024231F" w:rsidRPr="00F632CE">
        <w:rPr>
          <w:rFonts w:ascii="Arial" w:hAnsi="Arial" w:cs="Arial"/>
        </w:rPr>
        <w:t>, sumados con los quince (15) que se verificaron en el seguimiento anterior</w:t>
      </w:r>
      <w:r w:rsidR="00CC7836" w:rsidRPr="00F632CE">
        <w:rPr>
          <w:rFonts w:ascii="Arial" w:hAnsi="Arial" w:cs="Arial"/>
        </w:rPr>
        <w:t xml:space="preserve">, </w:t>
      </w:r>
      <w:r w:rsidR="008E33EE" w:rsidRPr="00F632CE">
        <w:rPr>
          <w:rFonts w:ascii="Arial" w:hAnsi="Arial" w:cs="Arial"/>
        </w:rPr>
        <w:t xml:space="preserve">durante el </w:t>
      </w:r>
      <w:r w:rsidR="00153906" w:rsidRPr="00F632CE">
        <w:rPr>
          <w:rFonts w:ascii="Arial" w:hAnsi="Arial" w:cs="Arial"/>
        </w:rPr>
        <w:t xml:space="preserve">tercer </w:t>
      </w:r>
      <w:r w:rsidR="008E33EE" w:rsidRPr="00F632CE">
        <w:rPr>
          <w:rFonts w:ascii="Arial" w:hAnsi="Arial" w:cs="Arial"/>
        </w:rPr>
        <w:t xml:space="preserve">cuatrimestre se </w:t>
      </w:r>
      <w:r w:rsidR="00CE0C15" w:rsidRPr="00F632CE">
        <w:rPr>
          <w:rFonts w:ascii="Arial" w:hAnsi="Arial" w:cs="Arial"/>
        </w:rPr>
        <w:t>examinarán</w:t>
      </w:r>
      <w:r w:rsidR="008E33EE" w:rsidRPr="00F632CE">
        <w:rPr>
          <w:rFonts w:ascii="Arial" w:hAnsi="Arial" w:cs="Arial"/>
        </w:rPr>
        <w:t xml:space="preserve"> </w:t>
      </w:r>
      <w:r w:rsidR="00DF4CBC" w:rsidRPr="00F632CE">
        <w:rPr>
          <w:rFonts w:ascii="Arial" w:hAnsi="Arial" w:cs="Arial"/>
        </w:rPr>
        <w:t>los riesgos restantes con el fin de verificar la totalidad de estos</w:t>
      </w:r>
      <w:r w:rsidR="00CE0C15" w:rsidRPr="00F632CE">
        <w:rPr>
          <w:rFonts w:ascii="Arial" w:hAnsi="Arial" w:cs="Arial"/>
        </w:rPr>
        <w:t xml:space="preserve"> a lo largo de la vigencia. </w:t>
      </w:r>
      <w:r w:rsidR="00321695" w:rsidRPr="00F632CE">
        <w:rPr>
          <w:rFonts w:ascii="Arial" w:hAnsi="Arial" w:cs="Arial"/>
        </w:rPr>
        <w:t xml:space="preserve"> </w:t>
      </w:r>
    </w:p>
    <w:p w14:paraId="366E5A55" w14:textId="77777777" w:rsidR="00333752" w:rsidRPr="00F632CE" w:rsidRDefault="00321695" w:rsidP="00333752">
      <w:pPr>
        <w:jc w:val="both"/>
        <w:rPr>
          <w:rFonts w:ascii="Arial" w:hAnsi="Arial" w:cs="Arial"/>
          <w:lang w:val="es-MX"/>
        </w:rPr>
      </w:pPr>
      <w:r w:rsidRPr="00F632CE">
        <w:rPr>
          <w:rFonts w:ascii="Arial" w:hAnsi="Arial" w:cs="Arial"/>
        </w:rPr>
        <w:t>E</w:t>
      </w:r>
      <w:r w:rsidR="00995E03" w:rsidRPr="00F632CE">
        <w:rPr>
          <w:rFonts w:ascii="Arial" w:hAnsi="Arial" w:cs="Arial"/>
        </w:rPr>
        <w:t xml:space="preserve">s de mencionar que desde la </w:t>
      </w:r>
      <w:r w:rsidR="00C33007" w:rsidRPr="00F632CE">
        <w:rPr>
          <w:rFonts w:ascii="Arial" w:hAnsi="Arial" w:cs="Arial"/>
        </w:rPr>
        <w:t xml:space="preserve">expedición de la guía de riesgos en 2015, el Departamento Administrativo de la Función Pública DAFP ha actualizado los lineamientos para </w:t>
      </w:r>
      <w:r w:rsidR="00CF21F5" w:rsidRPr="00F632CE">
        <w:rPr>
          <w:rFonts w:ascii="Arial" w:hAnsi="Arial" w:cs="Arial"/>
        </w:rPr>
        <w:t xml:space="preserve">la administración del riesgo y el diseño de controles por parte de las Entidades Públicas, por lo que lo </w:t>
      </w:r>
      <w:r w:rsidR="00A068D9" w:rsidRPr="00F632CE">
        <w:rPr>
          <w:rFonts w:ascii="Arial" w:hAnsi="Arial" w:cs="Arial"/>
        </w:rPr>
        <w:t xml:space="preserve">contenido en la </w:t>
      </w:r>
      <w:r w:rsidR="00A068D9" w:rsidRPr="00F632CE">
        <w:rPr>
          <w:rFonts w:ascii="Arial" w:hAnsi="Arial" w:cs="Arial"/>
          <w:i/>
          <w:iCs/>
          <w:lang w:val="es-MX"/>
        </w:rPr>
        <w:t xml:space="preserve">Guía para la Gestión del Riesgo de Corrupción </w:t>
      </w:r>
      <w:r w:rsidR="00A068D9" w:rsidRPr="00F632CE">
        <w:rPr>
          <w:rFonts w:ascii="Arial" w:hAnsi="Arial" w:cs="Arial"/>
          <w:lang w:val="es-MX"/>
        </w:rPr>
        <w:t xml:space="preserve">de la Presidencia de la República se </w:t>
      </w:r>
      <w:r w:rsidR="00214491" w:rsidRPr="00F632CE">
        <w:rPr>
          <w:rFonts w:ascii="Arial" w:hAnsi="Arial" w:cs="Arial"/>
          <w:lang w:val="es-MX"/>
        </w:rPr>
        <w:t>retoma en la versión No. 5 de la guía emitida por el DAFP en diciembre de la vigencia 2020</w:t>
      </w:r>
      <w:r w:rsidRPr="00F632CE">
        <w:rPr>
          <w:rFonts w:ascii="Arial" w:hAnsi="Arial" w:cs="Arial"/>
          <w:lang w:val="es-MX"/>
        </w:rPr>
        <w:t xml:space="preserve">. </w:t>
      </w:r>
    </w:p>
    <w:p w14:paraId="428C4CC4" w14:textId="77777777" w:rsidR="00833BB5" w:rsidRPr="00703C25" w:rsidRDefault="0086043E" w:rsidP="00833BB5">
      <w:pPr>
        <w:pStyle w:val="Ttulo2"/>
        <w:jc w:val="both"/>
        <w:rPr>
          <w:rFonts w:cs="Arial"/>
        </w:rPr>
      </w:pPr>
      <w:r w:rsidRPr="00703C25">
        <w:rPr>
          <w:rFonts w:cs="Arial"/>
        </w:rPr>
        <w:t xml:space="preserve">Resultados seguimiento </w:t>
      </w:r>
      <w:r w:rsidR="00D65D04" w:rsidRPr="00703C25">
        <w:rPr>
          <w:rFonts w:cs="Arial"/>
        </w:rPr>
        <w:t xml:space="preserve">del </w:t>
      </w:r>
      <w:r w:rsidRPr="00703C25">
        <w:rPr>
          <w:rFonts w:cs="Arial"/>
        </w:rPr>
        <w:t xml:space="preserve">Mapa de Riesgos de Corrupción – </w:t>
      </w:r>
      <w:r w:rsidR="00EC5AFE" w:rsidRPr="00703C25">
        <w:rPr>
          <w:rFonts w:cs="Arial"/>
        </w:rPr>
        <w:t>Segundo</w:t>
      </w:r>
      <w:r w:rsidRPr="00703C25">
        <w:rPr>
          <w:rFonts w:cs="Arial"/>
        </w:rPr>
        <w:t xml:space="preserve"> cuatrimestre de 2021 </w:t>
      </w:r>
    </w:p>
    <w:p w14:paraId="1B69C589" w14:textId="77777777" w:rsidR="009912F6" w:rsidRPr="00703C25" w:rsidRDefault="009912F6" w:rsidP="009912F6">
      <w:pPr>
        <w:jc w:val="both"/>
        <w:rPr>
          <w:rFonts w:ascii="Arial" w:hAnsi="Arial" w:cs="Arial"/>
          <w:sz w:val="4"/>
          <w:szCs w:val="4"/>
        </w:rPr>
      </w:pPr>
    </w:p>
    <w:p w14:paraId="43CBD370" w14:textId="77777777" w:rsidR="00AB0344" w:rsidRDefault="00833BB5" w:rsidP="00B430C8">
      <w:pPr>
        <w:jc w:val="both"/>
        <w:rPr>
          <w:rFonts w:ascii="Arial" w:hAnsi="Arial" w:cs="Arial"/>
        </w:rPr>
        <w:sectPr w:rsidR="00AB0344" w:rsidSect="00872A7E">
          <w:headerReference w:type="default" r:id="rId8"/>
          <w:footerReference w:type="default" r:id="rId9"/>
          <w:pgSz w:w="12240" w:h="15840"/>
          <w:pgMar w:top="1440" w:right="1080" w:bottom="1135" w:left="1080" w:header="113" w:footer="560" w:gutter="0"/>
          <w:cols w:space="708"/>
          <w:docGrid w:linePitch="360"/>
        </w:sectPr>
      </w:pPr>
      <w:r w:rsidRPr="00F632CE">
        <w:rPr>
          <w:rFonts w:ascii="Arial" w:hAnsi="Arial" w:cs="Arial"/>
        </w:rPr>
        <w:t>En la tabla No. 1 que se muestra a continuación</w:t>
      </w:r>
      <w:r w:rsidR="009912F6" w:rsidRPr="00F632CE">
        <w:rPr>
          <w:rFonts w:ascii="Arial" w:hAnsi="Arial" w:cs="Arial"/>
        </w:rPr>
        <w:t>,</w:t>
      </w:r>
      <w:r w:rsidRPr="00F632CE">
        <w:rPr>
          <w:rFonts w:ascii="Arial" w:hAnsi="Arial" w:cs="Arial"/>
        </w:rPr>
        <w:t xml:space="preserve"> se presentan los resultados al seguimiento de los quince </w:t>
      </w:r>
      <w:r w:rsidR="009912F6" w:rsidRPr="00F632CE">
        <w:rPr>
          <w:rFonts w:ascii="Arial" w:hAnsi="Arial" w:cs="Arial"/>
        </w:rPr>
        <w:t>(15) riesgos tomados de los cuarenta y tres (43) riesgos de corrupción que tiene identificado</w:t>
      </w:r>
      <w:r w:rsidR="00A27A4A" w:rsidRPr="00F632CE">
        <w:rPr>
          <w:rFonts w:ascii="Arial" w:hAnsi="Arial" w:cs="Arial"/>
        </w:rPr>
        <w:t>s</w:t>
      </w:r>
      <w:r w:rsidR="009912F6" w:rsidRPr="00F632CE">
        <w:rPr>
          <w:rFonts w:ascii="Arial" w:hAnsi="Arial" w:cs="Arial"/>
        </w:rPr>
        <w:t xml:space="preserve"> el MHCP</w:t>
      </w:r>
      <w:r w:rsidR="009911D1" w:rsidRPr="00F632CE">
        <w:rPr>
          <w:rFonts w:ascii="Arial" w:hAnsi="Arial" w:cs="Arial"/>
        </w:rPr>
        <w:t xml:space="preserve">, la verificación se efectuó con base en el monitoreo que realizan los responsables en el SMGI y en </w:t>
      </w:r>
      <w:r w:rsidR="00A27A4A" w:rsidRPr="00F632CE">
        <w:rPr>
          <w:rFonts w:ascii="Arial" w:hAnsi="Arial" w:cs="Arial"/>
        </w:rPr>
        <w:t xml:space="preserve">las </w:t>
      </w:r>
      <w:r w:rsidR="009911D1" w:rsidRPr="00F632CE">
        <w:rPr>
          <w:rFonts w:ascii="Arial" w:hAnsi="Arial" w:cs="Arial"/>
        </w:rPr>
        <w:t>evidencias que suben como soportes del adelanto de acciones</w:t>
      </w:r>
      <w:r w:rsidR="00FB281A" w:rsidRPr="00F632CE">
        <w:rPr>
          <w:rFonts w:ascii="Arial" w:hAnsi="Arial" w:cs="Arial"/>
        </w:rPr>
        <w:t xml:space="preserve">: </w:t>
      </w:r>
    </w:p>
    <w:p w14:paraId="7D7B5224" w14:textId="77777777" w:rsidR="00370A52" w:rsidRPr="00370A52" w:rsidRDefault="00370A52" w:rsidP="00703C25">
      <w:pPr>
        <w:tabs>
          <w:tab w:val="left" w:pos="3005"/>
        </w:tabs>
        <w:jc w:val="center"/>
        <w:rPr>
          <w:rFonts w:ascii="Arial" w:hAnsi="Arial" w:cs="Arial"/>
        </w:rPr>
      </w:pPr>
      <w:r w:rsidRPr="00667AE7">
        <w:rPr>
          <w:rFonts w:ascii="Arial" w:hAnsi="Arial" w:cs="Arial"/>
          <w:i/>
          <w:iCs/>
        </w:rPr>
        <w:lastRenderedPageBreak/>
        <w:t>Tabla 1.</w:t>
      </w:r>
      <w:r w:rsidRPr="00667AE7">
        <w:rPr>
          <w:rFonts w:ascii="Arial" w:hAnsi="Arial" w:cs="Arial"/>
        </w:rPr>
        <w:t xml:space="preserve"> Seguimiento  Mapa de Riesgos de Corrupción del MHCP, segundo cuatrimestre de 2021</w:t>
      </w:r>
    </w:p>
    <w:tbl>
      <w:tblPr>
        <w:tblW w:w="15594" w:type="dxa"/>
        <w:tblInd w:w="-998" w:type="dxa"/>
        <w:tblCellMar>
          <w:left w:w="70" w:type="dxa"/>
          <w:right w:w="70" w:type="dxa"/>
        </w:tblCellMar>
        <w:tblLook w:val="04A0" w:firstRow="1" w:lastRow="0" w:firstColumn="1" w:lastColumn="0" w:noHBand="0" w:noVBand="1"/>
      </w:tblPr>
      <w:tblGrid>
        <w:gridCol w:w="557"/>
        <w:gridCol w:w="2639"/>
        <w:gridCol w:w="2586"/>
        <w:gridCol w:w="1764"/>
        <w:gridCol w:w="2094"/>
        <w:gridCol w:w="3440"/>
        <w:gridCol w:w="2514"/>
      </w:tblGrid>
      <w:tr w:rsidR="00370A52" w:rsidRPr="00667AE7" w14:paraId="7CC32822" w14:textId="77777777" w:rsidTr="00703C25">
        <w:trPr>
          <w:trHeight w:val="68"/>
          <w:tblHead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0B22D7" w14:textId="77777777" w:rsidR="00370A52" w:rsidRPr="00667AE7" w:rsidRDefault="00370A52" w:rsidP="00667AE7">
            <w:pPr>
              <w:spacing w:after="0" w:line="240" w:lineRule="auto"/>
              <w:jc w:val="center"/>
              <w:rPr>
                <w:rFonts w:ascii="Arial" w:eastAsia="Times New Roman" w:hAnsi="Arial" w:cs="Arial"/>
                <w:i/>
                <w:iCs/>
                <w:color w:val="000000"/>
                <w:sz w:val="20"/>
                <w:szCs w:val="20"/>
                <w:lang w:eastAsia="es-CO"/>
              </w:rPr>
            </w:pPr>
            <w:r w:rsidRPr="00667AE7">
              <w:rPr>
                <w:rFonts w:ascii="Arial" w:eastAsia="Times New Roman" w:hAnsi="Arial" w:cs="Arial"/>
                <w:i/>
                <w:iCs/>
                <w:color w:val="000000"/>
                <w:sz w:val="20"/>
                <w:szCs w:val="20"/>
                <w:lang w:eastAsia="es-CO"/>
              </w:rPr>
              <w:t>Ítem</w:t>
            </w:r>
          </w:p>
        </w:tc>
        <w:tc>
          <w:tcPr>
            <w:tcW w:w="2639" w:type="dxa"/>
            <w:tcBorders>
              <w:top w:val="single" w:sz="4" w:space="0" w:color="auto"/>
              <w:left w:val="nil"/>
              <w:bottom w:val="single" w:sz="4" w:space="0" w:color="auto"/>
              <w:right w:val="single" w:sz="4" w:space="0" w:color="auto"/>
            </w:tcBorders>
            <w:shd w:val="clear" w:color="000000" w:fill="FFFFFF"/>
            <w:vAlign w:val="center"/>
            <w:hideMark/>
          </w:tcPr>
          <w:p w14:paraId="6944845E" w14:textId="77777777" w:rsidR="00370A52" w:rsidRPr="00667AE7" w:rsidRDefault="00370A52" w:rsidP="00667AE7">
            <w:pPr>
              <w:spacing w:after="0" w:line="240" w:lineRule="auto"/>
              <w:jc w:val="center"/>
              <w:rPr>
                <w:rFonts w:ascii="Arial" w:eastAsia="Times New Roman" w:hAnsi="Arial" w:cs="Arial"/>
                <w:i/>
                <w:iCs/>
                <w:color w:val="000000"/>
                <w:sz w:val="20"/>
                <w:szCs w:val="20"/>
                <w:lang w:eastAsia="es-CO"/>
              </w:rPr>
            </w:pPr>
            <w:r w:rsidRPr="00667AE7">
              <w:rPr>
                <w:rFonts w:ascii="Arial" w:eastAsia="Times New Roman" w:hAnsi="Arial" w:cs="Arial"/>
                <w:i/>
                <w:iCs/>
                <w:color w:val="000000"/>
                <w:sz w:val="20"/>
                <w:szCs w:val="20"/>
                <w:lang w:eastAsia="es-CO"/>
              </w:rPr>
              <w:t>Causa</w:t>
            </w:r>
          </w:p>
        </w:tc>
        <w:tc>
          <w:tcPr>
            <w:tcW w:w="2586" w:type="dxa"/>
            <w:tcBorders>
              <w:top w:val="single" w:sz="4" w:space="0" w:color="auto"/>
              <w:left w:val="nil"/>
              <w:bottom w:val="single" w:sz="4" w:space="0" w:color="auto"/>
              <w:right w:val="single" w:sz="4" w:space="0" w:color="auto"/>
            </w:tcBorders>
            <w:shd w:val="clear" w:color="000000" w:fill="FFFFFF"/>
            <w:vAlign w:val="center"/>
            <w:hideMark/>
          </w:tcPr>
          <w:p w14:paraId="04970A81" w14:textId="77777777" w:rsidR="00370A52" w:rsidRPr="00667AE7" w:rsidRDefault="00370A52" w:rsidP="00667AE7">
            <w:pPr>
              <w:spacing w:after="0" w:line="240" w:lineRule="auto"/>
              <w:jc w:val="center"/>
              <w:rPr>
                <w:rFonts w:ascii="Arial" w:eastAsia="Times New Roman" w:hAnsi="Arial" w:cs="Arial"/>
                <w:i/>
                <w:iCs/>
                <w:color w:val="000000"/>
                <w:sz w:val="20"/>
                <w:szCs w:val="20"/>
                <w:lang w:eastAsia="es-CO"/>
              </w:rPr>
            </w:pPr>
            <w:r w:rsidRPr="00667AE7">
              <w:rPr>
                <w:rFonts w:ascii="Arial" w:eastAsia="Times New Roman" w:hAnsi="Arial" w:cs="Arial"/>
                <w:i/>
                <w:iCs/>
                <w:color w:val="000000"/>
                <w:sz w:val="20"/>
                <w:szCs w:val="20"/>
                <w:lang w:eastAsia="es-CO"/>
              </w:rPr>
              <w:t>Riesgo de corrupción</w:t>
            </w:r>
          </w:p>
        </w:tc>
        <w:tc>
          <w:tcPr>
            <w:tcW w:w="1764" w:type="dxa"/>
            <w:tcBorders>
              <w:top w:val="single" w:sz="4" w:space="0" w:color="auto"/>
              <w:left w:val="nil"/>
              <w:bottom w:val="single" w:sz="4" w:space="0" w:color="auto"/>
              <w:right w:val="single" w:sz="4" w:space="0" w:color="auto"/>
            </w:tcBorders>
            <w:shd w:val="clear" w:color="000000" w:fill="FFFFFF"/>
            <w:vAlign w:val="center"/>
            <w:hideMark/>
          </w:tcPr>
          <w:p w14:paraId="317AB01C" w14:textId="77777777" w:rsidR="00370A52" w:rsidRPr="00667AE7" w:rsidRDefault="00370A52" w:rsidP="00667AE7">
            <w:pPr>
              <w:spacing w:after="0" w:line="240" w:lineRule="auto"/>
              <w:jc w:val="center"/>
              <w:rPr>
                <w:rFonts w:ascii="Arial" w:eastAsia="Times New Roman" w:hAnsi="Arial" w:cs="Arial"/>
                <w:i/>
                <w:iCs/>
                <w:color w:val="000000"/>
                <w:sz w:val="20"/>
                <w:szCs w:val="20"/>
                <w:lang w:eastAsia="es-CO"/>
              </w:rPr>
            </w:pPr>
            <w:r w:rsidRPr="00667AE7">
              <w:rPr>
                <w:rFonts w:ascii="Arial" w:eastAsia="Times New Roman" w:hAnsi="Arial" w:cs="Arial"/>
                <w:i/>
                <w:iCs/>
                <w:color w:val="000000"/>
                <w:sz w:val="20"/>
                <w:szCs w:val="20"/>
                <w:lang w:eastAsia="es-CO"/>
              </w:rPr>
              <w:t>Controles</w:t>
            </w:r>
          </w:p>
        </w:tc>
        <w:tc>
          <w:tcPr>
            <w:tcW w:w="2094" w:type="dxa"/>
            <w:tcBorders>
              <w:top w:val="single" w:sz="4" w:space="0" w:color="auto"/>
              <w:left w:val="nil"/>
              <w:bottom w:val="single" w:sz="4" w:space="0" w:color="auto"/>
              <w:right w:val="single" w:sz="4" w:space="0" w:color="auto"/>
            </w:tcBorders>
            <w:shd w:val="clear" w:color="000000" w:fill="FFFFFF"/>
            <w:vAlign w:val="center"/>
            <w:hideMark/>
          </w:tcPr>
          <w:p w14:paraId="4AC2F352" w14:textId="77777777" w:rsidR="00370A52" w:rsidRPr="00667AE7" w:rsidRDefault="00370A52" w:rsidP="00667AE7">
            <w:pPr>
              <w:spacing w:after="0" w:line="240" w:lineRule="auto"/>
              <w:jc w:val="center"/>
              <w:rPr>
                <w:rFonts w:ascii="Arial" w:eastAsia="Times New Roman" w:hAnsi="Arial" w:cs="Arial"/>
                <w:i/>
                <w:iCs/>
                <w:sz w:val="20"/>
                <w:szCs w:val="20"/>
                <w:lang w:eastAsia="es-CO"/>
              </w:rPr>
            </w:pPr>
            <w:r w:rsidRPr="00667AE7">
              <w:rPr>
                <w:rFonts w:ascii="Arial" w:eastAsia="Times New Roman" w:hAnsi="Arial" w:cs="Arial"/>
                <w:i/>
                <w:iCs/>
                <w:sz w:val="20"/>
                <w:szCs w:val="20"/>
                <w:lang w:eastAsia="es-CO"/>
              </w:rPr>
              <w:t xml:space="preserve">Efectividad de los controles </w:t>
            </w:r>
          </w:p>
        </w:tc>
        <w:tc>
          <w:tcPr>
            <w:tcW w:w="3440" w:type="dxa"/>
            <w:tcBorders>
              <w:top w:val="single" w:sz="4" w:space="0" w:color="auto"/>
              <w:left w:val="nil"/>
              <w:bottom w:val="single" w:sz="4" w:space="0" w:color="auto"/>
              <w:right w:val="single" w:sz="4" w:space="0" w:color="auto"/>
            </w:tcBorders>
            <w:shd w:val="clear" w:color="000000" w:fill="FFFFFF"/>
            <w:vAlign w:val="center"/>
            <w:hideMark/>
          </w:tcPr>
          <w:p w14:paraId="33FD5FC4" w14:textId="77777777" w:rsidR="00370A52" w:rsidRPr="00667AE7" w:rsidRDefault="00370A52" w:rsidP="00667AE7">
            <w:pPr>
              <w:spacing w:after="0" w:line="240" w:lineRule="auto"/>
              <w:jc w:val="center"/>
              <w:rPr>
                <w:rFonts w:ascii="Arial" w:eastAsia="Times New Roman" w:hAnsi="Arial" w:cs="Arial"/>
                <w:i/>
                <w:iCs/>
                <w:sz w:val="20"/>
                <w:szCs w:val="20"/>
                <w:lang w:eastAsia="es-CO"/>
              </w:rPr>
            </w:pPr>
            <w:r w:rsidRPr="00667AE7">
              <w:rPr>
                <w:rFonts w:ascii="Arial" w:eastAsia="Times New Roman" w:hAnsi="Arial" w:cs="Arial"/>
                <w:i/>
                <w:iCs/>
                <w:sz w:val="20"/>
                <w:szCs w:val="20"/>
                <w:lang w:eastAsia="es-CO"/>
              </w:rPr>
              <w:t xml:space="preserve">Acciones Adelantadas </w:t>
            </w:r>
          </w:p>
        </w:tc>
        <w:tc>
          <w:tcPr>
            <w:tcW w:w="2514" w:type="dxa"/>
            <w:tcBorders>
              <w:top w:val="single" w:sz="4" w:space="0" w:color="auto"/>
              <w:left w:val="nil"/>
              <w:bottom w:val="single" w:sz="4" w:space="0" w:color="auto"/>
              <w:right w:val="single" w:sz="4" w:space="0" w:color="auto"/>
            </w:tcBorders>
            <w:shd w:val="clear" w:color="000000" w:fill="FFFFFF"/>
            <w:vAlign w:val="center"/>
            <w:hideMark/>
          </w:tcPr>
          <w:p w14:paraId="1A4FA6EA" w14:textId="77777777" w:rsidR="00370A52" w:rsidRPr="00667AE7" w:rsidRDefault="00370A52" w:rsidP="00667AE7">
            <w:pPr>
              <w:spacing w:after="0" w:line="240" w:lineRule="auto"/>
              <w:jc w:val="center"/>
              <w:rPr>
                <w:rFonts w:ascii="Arial" w:eastAsia="Times New Roman" w:hAnsi="Arial" w:cs="Arial"/>
                <w:i/>
                <w:iCs/>
                <w:sz w:val="20"/>
                <w:szCs w:val="20"/>
                <w:lang w:eastAsia="es-CO"/>
              </w:rPr>
            </w:pPr>
            <w:r w:rsidRPr="00667AE7">
              <w:rPr>
                <w:rFonts w:ascii="Arial" w:eastAsia="Times New Roman" w:hAnsi="Arial" w:cs="Arial"/>
                <w:i/>
                <w:iCs/>
                <w:sz w:val="20"/>
                <w:szCs w:val="20"/>
                <w:lang w:eastAsia="es-CO"/>
              </w:rPr>
              <w:t xml:space="preserve">Observaciones </w:t>
            </w:r>
          </w:p>
        </w:tc>
      </w:tr>
      <w:tr w:rsidR="00370A52" w:rsidRPr="00667AE7" w14:paraId="7D7E54E8" w14:textId="77777777" w:rsidTr="00667AE7">
        <w:trPr>
          <w:trHeight w:val="947"/>
        </w:trPr>
        <w:tc>
          <w:tcPr>
            <w:tcW w:w="5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E7AB57" w14:textId="77777777" w:rsidR="00370A52" w:rsidRPr="00667AE7" w:rsidRDefault="00370A52" w:rsidP="00667AE7">
            <w:pPr>
              <w:spacing w:after="0" w:line="240" w:lineRule="auto"/>
              <w:jc w:val="center"/>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1</w:t>
            </w:r>
          </w:p>
        </w:tc>
        <w:tc>
          <w:tcPr>
            <w:tcW w:w="2639" w:type="dxa"/>
            <w:tcBorders>
              <w:top w:val="nil"/>
              <w:left w:val="nil"/>
              <w:bottom w:val="single" w:sz="4" w:space="0" w:color="auto"/>
              <w:right w:val="single" w:sz="4" w:space="0" w:color="auto"/>
            </w:tcBorders>
            <w:shd w:val="clear" w:color="000000" w:fill="FFFFFF"/>
            <w:vAlign w:val="center"/>
            <w:hideMark/>
          </w:tcPr>
          <w:p w14:paraId="03A526B7"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Ofrecimientos para la toma de decisiones en la estructuración y negociación de operaciones</w:t>
            </w: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CAE27D"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R34 Pactar operaciones en condiciones desfavorables para la Nación en beneficio propio o de un tercero</w:t>
            </w:r>
          </w:p>
        </w:tc>
        <w:tc>
          <w:tcPr>
            <w:tcW w:w="1764" w:type="dxa"/>
            <w:tcBorders>
              <w:top w:val="nil"/>
              <w:left w:val="nil"/>
              <w:bottom w:val="single" w:sz="4" w:space="0" w:color="auto"/>
              <w:right w:val="single" w:sz="4" w:space="0" w:color="auto"/>
            </w:tcBorders>
            <w:shd w:val="clear" w:color="000000" w:fill="FFFFFF"/>
            <w:vAlign w:val="center"/>
            <w:hideMark/>
          </w:tcPr>
          <w:p w14:paraId="0F5FD577"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Revisión y visto bueno de documentos requeridos para las operaciones</w:t>
            </w:r>
          </w:p>
        </w:tc>
        <w:tc>
          <w:tcPr>
            <w:tcW w:w="2094" w:type="dxa"/>
            <w:tcBorders>
              <w:top w:val="nil"/>
              <w:left w:val="nil"/>
              <w:bottom w:val="single" w:sz="4" w:space="0" w:color="auto"/>
              <w:right w:val="single" w:sz="4" w:space="0" w:color="auto"/>
            </w:tcBorders>
            <w:shd w:val="clear" w:color="000000" w:fill="FFFFFF"/>
            <w:vAlign w:val="center"/>
            <w:hideMark/>
          </w:tcPr>
          <w:p w14:paraId="6A8CFA0A" w14:textId="77777777" w:rsidR="00370A52"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Se identificó que el control establece su propósito para evitar la materialización del riesgo.</w:t>
            </w:r>
          </w:p>
          <w:p w14:paraId="3D613A3C"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tcBorders>
              <w:top w:val="nil"/>
              <w:left w:val="nil"/>
              <w:bottom w:val="single" w:sz="4" w:space="0" w:color="auto"/>
              <w:right w:val="single" w:sz="4" w:space="0" w:color="auto"/>
            </w:tcBorders>
            <w:shd w:val="clear" w:color="000000" w:fill="FFFFFF"/>
            <w:vAlign w:val="center"/>
            <w:hideMark/>
          </w:tcPr>
          <w:p w14:paraId="5603D927"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Según lo reportado por </w:t>
            </w:r>
            <w:r>
              <w:rPr>
                <w:rFonts w:ascii="Arial" w:eastAsia="Times New Roman" w:hAnsi="Arial" w:cs="Arial"/>
                <w:color w:val="000000"/>
                <w:sz w:val="20"/>
                <w:szCs w:val="20"/>
                <w:lang w:eastAsia="es-CO"/>
              </w:rPr>
              <w:t xml:space="preserve">el </w:t>
            </w:r>
            <w:r w:rsidRPr="00667AE7">
              <w:rPr>
                <w:rFonts w:ascii="Arial" w:eastAsia="Times New Roman" w:hAnsi="Arial" w:cs="Arial"/>
                <w:color w:val="000000"/>
                <w:sz w:val="20"/>
                <w:szCs w:val="20"/>
                <w:lang w:eastAsia="es-CO"/>
              </w:rPr>
              <w:t xml:space="preserve"> proceso en el SMGI, durante el periodo monitoreado no se ejecutaron operaciones de manejo de deuda, ni</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de financiamiento</w:t>
            </w:r>
            <w:r>
              <w:rPr>
                <w:rFonts w:ascii="Arial" w:eastAsia="Times New Roman" w:hAnsi="Arial" w:cs="Arial"/>
                <w:color w:val="000000"/>
                <w:sz w:val="20"/>
                <w:szCs w:val="20"/>
                <w:lang w:eastAsia="es-CO"/>
              </w:rPr>
              <w:t>,</w:t>
            </w:r>
            <w:r w:rsidRPr="00667AE7">
              <w:rPr>
                <w:rFonts w:ascii="Arial" w:eastAsia="Times New Roman" w:hAnsi="Arial" w:cs="Arial"/>
                <w:color w:val="000000"/>
                <w:sz w:val="20"/>
                <w:szCs w:val="20"/>
                <w:lang w:eastAsia="es-CO"/>
              </w:rPr>
              <w:t xml:space="preserve"> por lo que no se presentaron las condiciones para la materialización del riesgo. </w:t>
            </w:r>
          </w:p>
        </w:tc>
        <w:tc>
          <w:tcPr>
            <w:tcW w:w="2514" w:type="dxa"/>
            <w:tcBorders>
              <w:top w:val="nil"/>
              <w:left w:val="nil"/>
              <w:bottom w:val="single" w:sz="4" w:space="0" w:color="auto"/>
              <w:right w:val="single" w:sz="4" w:space="0" w:color="auto"/>
            </w:tcBorders>
            <w:shd w:val="clear" w:color="000000" w:fill="FFFFFF"/>
            <w:vAlign w:val="center"/>
            <w:hideMark/>
          </w:tcPr>
          <w:p w14:paraId="6CAE8056"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 xml:space="preserve">segundo cuatrimestre de la vigencia 2021, en razón a que no se aplicó. </w:t>
            </w:r>
          </w:p>
        </w:tc>
      </w:tr>
      <w:tr w:rsidR="00370A52" w:rsidRPr="00667AE7" w14:paraId="70F02E22" w14:textId="77777777" w:rsidTr="00667AE7">
        <w:trPr>
          <w:trHeight w:val="1417"/>
        </w:trPr>
        <w:tc>
          <w:tcPr>
            <w:tcW w:w="557" w:type="dxa"/>
            <w:vMerge/>
            <w:tcBorders>
              <w:top w:val="nil"/>
              <w:left w:val="single" w:sz="4" w:space="0" w:color="auto"/>
              <w:bottom w:val="single" w:sz="4" w:space="0" w:color="auto"/>
              <w:right w:val="single" w:sz="4" w:space="0" w:color="auto"/>
            </w:tcBorders>
            <w:vAlign w:val="center"/>
            <w:hideMark/>
          </w:tcPr>
          <w:p w14:paraId="728C373F" w14:textId="77777777" w:rsidR="00370A52" w:rsidRPr="00667AE7" w:rsidRDefault="00370A52" w:rsidP="00667AE7">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08306C8B"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Presiones externas o de un superior a la hora de tomar decisiones de estructuración y ejecución de operaciones.</w:t>
            </w:r>
          </w:p>
        </w:tc>
        <w:tc>
          <w:tcPr>
            <w:tcW w:w="2586" w:type="dxa"/>
            <w:vMerge/>
            <w:tcBorders>
              <w:top w:val="nil"/>
              <w:left w:val="single" w:sz="4" w:space="0" w:color="auto"/>
              <w:bottom w:val="single" w:sz="4" w:space="0" w:color="auto"/>
              <w:right w:val="single" w:sz="4" w:space="0" w:color="auto"/>
            </w:tcBorders>
            <w:vAlign w:val="center"/>
            <w:hideMark/>
          </w:tcPr>
          <w:p w14:paraId="44C0BF54"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1764" w:type="dxa"/>
            <w:tcBorders>
              <w:top w:val="nil"/>
              <w:left w:val="nil"/>
              <w:bottom w:val="single" w:sz="4" w:space="0" w:color="auto"/>
              <w:right w:val="single" w:sz="4" w:space="0" w:color="auto"/>
            </w:tcBorders>
            <w:shd w:val="clear" w:color="000000" w:fill="FFFFFF"/>
            <w:vAlign w:val="center"/>
            <w:hideMark/>
          </w:tcPr>
          <w:p w14:paraId="3178C126"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Autorizaciones previas del CONPES, Banco de la República y Comisión Interparlamentaria de Crédito Público</w:t>
            </w:r>
          </w:p>
        </w:tc>
        <w:tc>
          <w:tcPr>
            <w:tcW w:w="2094" w:type="dxa"/>
            <w:tcBorders>
              <w:top w:val="nil"/>
              <w:left w:val="nil"/>
              <w:bottom w:val="single" w:sz="4" w:space="0" w:color="auto"/>
              <w:right w:val="single" w:sz="4" w:space="0" w:color="auto"/>
            </w:tcBorders>
            <w:shd w:val="clear" w:color="000000" w:fill="FFFFFF"/>
            <w:vAlign w:val="center"/>
            <w:hideMark/>
          </w:tcPr>
          <w:p w14:paraId="00969B29" w14:textId="77777777" w:rsidR="00370A52"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Se identificó que el control establece su propósito para evitar la materialización del riesgo.</w:t>
            </w:r>
          </w:p>
          <w:p w14:paraId="2CCB2AE5"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tcBorders>
              <w:top w:val="nil"/>
              <w:left w:val="nil"/>
              <w:bottom w:val="single" w:sz="4" w:space="0" w:color="auto"/>
              <w:right w:val="single" w:sz="4" w:space="0" w:color="auto"/>
            </w:tcBorders>
            <w:shd w:val="clear" w:color="000000" w:fill="FFFFFF"/>
            <w:vAlign w:val="center"/>
            <w:hideMark/>
          </w:tcPr>
          <w:p w14:paraId="0939531C"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De acuerdo con lo manifestado por el </w:t>
            </w:r>
            <w:r>
              <w:rPr>
                <w:rFonts w:ascii="Arial" w:eastAsia="Times New Roman" w:hAnsi="Arial" w:cs="Arial"/>
                <w:color w:val="000000"/>
                <w:sz w:val="20"/>
                <w:szCs w:val="20"/>
                <w:lang w:eastAsia="es-CO"/>
              </w:rPr>
              <w:t xml:space="preserve">proceso </w:t>
            </w:r>
            <w:r w:rsidRPr="00667AE7">
              <w:rPr>
                <w:rFonts w:ascii="Arial" w:eastAsia="Times New Roman" w:hAnsi="Arial" w:cs="Arial"/>
                <w:color w:val="000000"/>
                <w:sz w:val="20"/>
                <w:szCs w:val="20"/>
                <w:lang w:eastAsia="es-CO"/>
              </w:rPr>
              <w:t>en el SMGI, en el periodo monitoreado se inició el proceso de solicitud de autorización al CONPES, con el fin de tener la flexibilidad de poder ejecutar el proceso de financiamient</w:t>
            </w:r>
            <w:r>
              <w:rPr>
                <w:rFonts w:ascii="Arial" w:eastAsia="Times New Roman" w:hAnsi="Arial" w:cs="Arial"/>
                <w:color w:val="000000"/>
                <w:sz w:val="20"/>
                <w:szCs w:val="20"/>
                <w:lang w:eastAsia="es-CO"/>
              </w:rPr>
              <w:t>o y/o</w:t>
            </w:r>
            <w:r w:rsidRPr="00667AE7">
              <w:rPr>
                <w:rFonts w:ascii="Arial" w:eastAsia="Times New Roman" w:hAnsi="Arial" w:cs="Arial"/>
                <w:color w:val="000000"/>
                <w:sz w:val="20"/>
                <w:szCs w:val="20"/>
                <w:lang w:eastAsia="es-CO"/>
              </w:rPr>
              <w:t xml:space="preserve"> prefinanciamiento en el segundo semestre de 2021, una vez se identifique una ventana de mercado apropiada. </w:t>
            </w:r>
          </w:p>
        </w:tc>
        <w:tc>
          <w:tcPr>
            <w:tcW w:w="2514" w:type="dxa"/>
            <w:tcBorders>
              <w:top w:val="nil"/>
              <w:left w:val="nil"/>
              <w:bottom w:val="single" w:sz="4" w:space="0" w:color="auto"/>
              <w:right w:val="single" w:sz="4" w:space="0" w:color="auto"/>
            </w:tcBorders>
            <w:shd w:val="clear" w:color="000000" w:fill="FFFFFF"/>
            <w:vAlign w:val="center"/>
            <w:hideMark/>
          </w:tcPr>
          <w:p w14:paraId="773615D3"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segundo cuatrimestre de la vigencia 2021</w:t>
            </w:r>
            <w:r>
              <w:rPr>
                <w:rFonts w:ascii="Arial" w:eastAsia="Times New Roman" w:hAnsi="Arial" w:cs="Arial"/>
                <w:color w:val="000000"/>
                <w:sz w:val="20"/>
                <w:szCs w:val="20"/>
                <w:lang w:eastAsia="es-CO"/>
              </w:rPr>
              <w:t xml:space="preserve">. </w:t>
            </w:r>
          </w:p>
        </w:tc>
      </w:tr>
      <w:tr w:rsidR="00370A52" w:rsidRPr="00667AE7" w14:paraId="25551C69" w14:textId="77777777" w:rsidTr="00667AE7">
        <w:trPr>
          <w:trHeight w:val="1297"/>
        </w:trPr>
        <w:tc>
          <w:tcPr>
            <w:tcW w:w="557" w:type="dxa"/>
            <w:vMerge/>
            <w:tcBorders>
              <w:top w:val="nil"/>
              <w:left w:val="single" w:sz="4" w:space="0" w:color="auto"/>
              <w:bottom w:val="single" w:sz="4" w:space="0" w:color="auto"/>
              <w:right w:val="single" w:sz="4" w:space="0" w:color="auto"/>
            </w:tcBorders>
            <w:vAlign w:val="center"/>
            <w:hideMark/>
          </w:tcPr>
          <w:p w14:paraId="4926B4EE" w14:textId="77777777" w:rsidR="00370A52" w:rsidRPr="00667AE7" w:rsidRDefault="00370A52" w:rsidP="00667AE7">
            <w:pPr>
              <w:spacing w:after="0" w:line="240" w:lineRule="auto"/>
              <w:rPr>
                <w:rFonts w:ascii="Arial" w:eastAsia="Times New Roman" w:hAnsi="Arial" w:cs="Arial"/>
                <w:color w:val="000000"/>
                <w:sz w:val="20"/>
                <w:szCs w:val="20"/>
                <w:lang w:eastAsia="es-CO"/>
              </w:rPr>
            </w:pPr>
          </w:p>
        </w:tc>
        <w:tc>
          <w:tcPr>
            <w:tcW w:w="26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F7DB8F"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Filtrar información con carácter reservado de manera intencional respecto a las operaciones a un tercero</w:t>
            </w:r>
          </w:p>
        </w:tc>
        <w:tc>
          <w:tcPr>
            <w:tcW w:w="2586" w:type="dxa"/>
            <w:vMerge/>
            <w:tcBorders>
              <w:top w:val="nil"/>
              <w:left w:val="single" w:sz="4" w:space="0" w:color="auto"/>
              <w:bottom w:val="single" w:sz="4" w:space="0" w:color="auto"/>
              <w:right w:val="single" w:sz="4" w:space="0" w:color="auto"/>
            </w:tcBorders>
            <w:vAlign w:val="center"/>
            <w:hideMark/>
          </w:tcPr>
          <w:p w14:paraId="7BAEF9A0"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1764" w:type="dxa"/>
            <w:tcBorders>
              <w:top w:val="nil"/>
              <w:left w:val="nil"/>
              <w:bottom w:val="single" w:sz="4" w:space="0" w:color="auto"/>
              <w:right w:val="single" w:sz="4" w:space="0" w:color="auto"/>
            </w:tcBorders>
            <w:shd w:val="clear" w:color="000000" w:fill="FFFFFF"/>
            <w:vAlign w:val="center"/>
            <w:hideMark/>
          </w:tcPr>
          <w:p w14:paraId="02AB78EC"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Solicitud de conceptos de riesgo</w:t>
            </w:r>
          </w:p>
        </w:tc>
        <w:tc>
          <w:tcPr>
            <w:tcW w:w="2094" w:type="dxa"/>
            <w:tcBorders>
              <w:top w:val="nil"/>
              <w:left w:val="nil"/>
              <w:bottom w:val="single" w:sz="4" w:space="0" w:color="auto"/>
              <w:right w:val="single" w:sz="4" w:space="0" w:color="auto"/>
            </w:tcBorders>
            <w:shd w:val="clear" w:color="000000" w:fill="FFFFFF"/>
            <w:vAlign w:val="center"/>
            <w:hideMark/>
          </w:tcPr>
          <w:p w14:paraId="074AAAB6" w14:textId="77777777" w:rsidR="00370A52"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 identificó que el control establece su propósito para evitar la materialización del riesgo. </w:t>
            </w:r>
          </w:p>
          <w:p w14:paraId="5683CBB4"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tcBorders>
              <w:top w:val="nil"/>
              <w:left w:val="nil"/>
              <w:bottom w:val="single" w:sz="4" w:space="0" w:color="auto"/>
              <w:right w:val="single" w:sz="4" w:space="0" w:color="auto"/>
            </w:tcBorders>
            <w:shd w:val="clear" w:color="000000" w:fill="FFFFFF"/>
            <w:vAlign w:val="center"/>
            <w:hideMark/>
          </w:tcPr>
          <w:p w14:paraId="192AA315"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Según lo reportado por </w:t>
            </w:r>
            <w:r>
              <w:rPr>
                <w:rFonts w:ascii="Arial" w:eastAsia="Times New Roman" w:hAnsi="Arial" w:cs="Arial"/>
                <w:color w:val="000000"/>
                <w:sz w:val="20"/>
                <w:szCs w:val="20"/>
                <w:lang w:eastAsia="es-CO"/>
              </w:rPr>
              <w:t xml:space="preserve">el </w:t>
            </w:r>
            <w:r w:rsidRPr="00667AE7">
              <w:rPr>
                <w:rFonts w:ascii="Arial" w:eastAsia="Times New Roman" w:hAnsi="Arial" w:cs="Arial"/>
                <w:color w:val="000000"/>
                <w:sz w:val="20"/>
                <w:szCs w:val="20"/>
                <w:lang w:eastAsia="es-CO"/>
              </w:rPr>
              <w:t xml:space="preserve"> proceso en el SMGI, durante el periodo monitoreado no se ejecutaron operaciones de manejo de deuda, ni</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de financiamiento</w:t>
            </w:r>
            <w:r>
              <w:rPr>
                <w:rFonts w:ascii="Arial" w:eastAsia="Times New Roman" w:hAnsi="Arial" w:cs="Arial"/>
                <w:color w:val="000000"/>
                <w:sz w:val="20"/>
                <w:szCs w:val="20"/>
                <w:lang w:eastAsia="es-CO"/>
              </w:rPr>
              <w:t>,</w:t>
            </w:r>
            <w:r w:rsidRPr="00667AE7">
              <w:rPr>
                <w:rFonts w:ascii="Arial" w:eastAsia="Times New Roman" w:hAnsi="Arial" w:cs="Arial"/>
                <w:color w:val="000000"/>
                <w:sz w:val="20"/>
                <w:szCs w:val="20"/>
                <w:lang w:eastAsia="es-CO"/>
              </w:rPr>
              <w:t xml:space="preserve"> por lo que no se presentaron las condiciones para la materialización del riesgo.</w:t>
            </w:r>
          </w:p>
        </w:tc>
        <w:tc>
          <w:tcPr>
            <w:tcW w:w="2514" w:type="dxa"/>
            <w:tcBorders>
              <w:top w:val="nil"/>
              <w:left w:val="nil"/>
              <w:bottom w:val="single" w:sz="4" w:space="0" w:color="auto"/>
              <w:right w:val="single" w:sz="4" w:space="0" w:color="auto"/>
            </w:tcBorders>
            <w:shd w:val="clear" w:color="000000" w:fill="FFFFFF"/>
            <w:vAlign w:val="center"/>
            <w:hideMark/>
          </w:tcPr>
          <w:p w14:paraId="13BF1A00"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 xml:space="preserve">segundo cuatrimestre de la vigencia 2021, en razón a que no se aplicó. </w:t>
            </w:r>
          </w:p>
        </w:tc>
      </w:tr>
      <w:tr w:rsidR="00370A52" w:rsidRPr="00667AE7" w14:paraId="65CC82CC" w14:textId="77777777" w:rsidTr="00667AE7">
        <w:trPr>
          <w:trHeight w:val="85"/>
        </w:trPr>
        <w:tc>
          <w:tcPr>
            <w:tcW w:w="557" w:type="dxa"/>
            <w:vMerge/>
            <w:tcBorders>
              <w:top w:val="nil"/>
              <w:left w:val="single" w:sz="4" w:space="0" w:color="auto"/>
              <w:bottom w:val="single" w:sz="4" w:space="0" w:color="auto"/>
              <w:right w:val="single" w:sz="4" w:space="0" w:color="auto"/>
            </w:tcBorders>
            <w:vAlign w:val="center"/>
            <w:hideMark/>
          </w:tcPr>
          <w:p w14:paraId="4D2FBAA4" w14:textId="77777777" w:rsidR="00370A52" w:rsidRPr="00667AE7" w:rsidRDefault="00370A52" w:rsidP="00667AE7">
            <w:pPr>
              <w:spacing w:after="0" w:line="240" w:lineRule="auto"/>
              <w:rPr>
                <w:rFonts w:ascii="Arial" w:eastAsia="Times New Roman" w:hAnsi="Arial" w:cs="Arial"/>
                <w:color w:val="000000"/>
                <w:sz w:val="20"/>
                <w:szCs w:val="20"/>
                <w:lang w:eastAsia="es-CO"/>
              </w:rPr>
            </w:pPr>
          </w:p>
        </w:tc>
        <w:tc>
          <w:tcPr>
            <w:tcW w:w="2639" w:type="dxa"/>
            <w:vMerge/>
            <w:tcBorders>
              <w:top w:val="nil"/>
              <w:left w:val="single" w:sz="4" w:space="0" w:color="auto"/>
              <w:bottom w:val="single" w:sz="4" w:space="0" w:color="000000"/>
              <w:right w:val="single" w:sz="4" w:space="0" w:color="auto"/>
            </w:tcBorders>
            <w:vAlign w:val="center"/>
            <w:hideMark/>
          </w:tcPr>
          <w:p w14:paraId="3B17FEE5"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2586" w:type="dxa"/>
            <w:vMerge/>
            <w:tcBorders>
              <w:top w:val="nil"/>
              <w:left w:val="single" w:sz="4" w:space="0" w:color="auto"/>
              <w:bottom w:val="single" w:sz="4" w:space="0" w:color="auto"/>
              <w:right w:val="single" w:sz="4" w:space="0" w:color="auto"/>
            </w:tcBorders>
            <w:vAlign w:val="center"/>
            <w:hideMark/>
          </w:tcPr>
          <w:p w14:paraId="229A5E73"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1764" w:type="dxa"/>
            <w:tcBorders>
              <w:top w:val="nil"/>
              <w:left w:val="nil"/>
              <w:bottom w:val="single" w:sz="4" w:space="0" w:color="auto"/>
              <w:right w:val="single" w:sz="4" w:space="0" w:color="auto"/>
            </w:tcBorders>
            <w:shd w:val="clear" w:color="000000" w:fill="FFFFFF"/>
            <w:vAlign w:val="center"/>
            <w:hideMark/>
          </w:tcPr>
          <w:p w14:paraId="172631A7"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Comité de Tesorería</w:t>
            </w:r>
          </w:p>
        </w:tc>
        <w:tc>
          <w:tcPr>
            <w:tcW w:w="2094" w:type="dxa"/>
            <w:tcBorders>
              <w:top w:val="nil"/>
              <w:left w:val="nil"/>
              <w:bottom w:val="single" w:sz="4" w:space="0" w:color="auto"/>
              <w:right w:val="single" w:sz="4" w:space="0" w:color="auto"/>
            </w:tcBorders>
            <w:shd w:val="clear" w:color="000000" w:fill="FFFFFF"/>
            <w:vAlign w:val="center"/>
            <w:hideMark/>
          </w:tcPr>
          <w:p w14:paraId="2F4B9F46" w14:textId="77777777" w:rsidR="00370A52"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 identificó que el control establece su propósito para evitar la materialización del riesgo. </w:t>
            </w:r>
          </w:p>
          <w:p w14:paraId="0329FE79"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tcBorders>
              <w:top w:val="nil"/>
              <w:left w:val="nil"/>
              <w:bottom w:val="single" w:sz="4" w:space="0" w:color="auto"/>
              <w:right w:val="single" w:sz="4" w:space="0" w:color="auto"/>
            </w:tcBorders>
            <w:shd w:val="clear" w:color="000000" w:fill="FFFFFF"/>
            <w:vAlign w:val="center"/>
            <w:hideMark/>
          </w:tcPr>
          <w:p w14:paraId="7D142AB7"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Según lo reportado por </w:t>
            </w:r>
            <w:r>
              <w:rPr>
                <w:rFonts w:ascii="Arial" w:eastAsia="Times New Roman" w:hAnsi="Arial" w:cs="Arial"/>
                <w:color w:val="000000"/>
                <w:sz w:val="20"/>
                <w:szCs w:val="20"/>
                <w:lang w:eastAsia="es-CO"/>
              </w:rPr>
              <w:t>el</w:t>
            </w:r>
            <w:r w:rsidRPr="00667AE7">
              <w:rPr>
                <w:rFonts w:ascii="Arial" w:eastAsia="Times New Roman" w:hAnsi="Arial" w:cs="Arial"/>
                <w:color w:val="000000"/>
                <w:sz w:val="20"/>
                <w:szCs w:val="20"/>
                <w:lang w:eastAsia="es-CO"/>
              </w:rPr>
              <w:t xml:space="preserve"> proceso en el SMGI, durante el periodo monitoreado no se ejecutaron operaciones de manejo de deuda, ni operaciones de financiamiento</w:t>
            </w:r>
            <w:r>
              <w:rPr>
                <w:rFonts w:ascii="Arial" w:eastAsia="Times New Roman" w:hAnsi="Arial" w:cs="Arial"/>
                <w:color w:val="000000"/>
                <w:sz w:val="20"/>
                <w:szCs w:val="20"/>
                <w:lang w:eastAsia="es-CO"/>
              </w:rPr>
              <w:t xml:space="preserve">. </w:t>
            </w:r>
          </w:p>
        </w:tc>
        <w:tc>
          <w:tcPr>
            <w:tcW w:w="2514" w:type="dxa"/>
            <w:tcBorders>
              <w:top w:val="nil"/>
              <w:left w:val="nil"/>
              <w:bottom w:val="single" w:sz="4" w:space="0" w:color="auto"/>
              <w:right w:val="single" w:sz="4" w:space="0" w:color="auto"/>
            </w:tcBorders>
            <w:shd w:val="clear" w:color="000000" w:fill="FFFFFF"/>
            <w:vAlign w:val="center"/>
            <w:hideMark/>
          </w:tcPr>
          <w:p w14:paraId="09B7A89F"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segundo cuatrimestre de la vigencia 2021, en razón a que no se aplicó.</w:t>
            </w:r>
          </w:p>
        </w:tc>
      </w:tr>
      <w:tr w:rsidR="00370A52" w:rsidRPr="00667AE7" w14:paraId="4D87A5B6" w14:textId="77777777" w:rsidTr="00703C25">
        <w:trPr>
          <w:trHeight w:val="224"/>
        </w:trPr>
        <w:tc>
          <w:tcPr>
            <w:tcW w:w="5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C2BE4C" w14:textId="77777777" w:rsidR="00370A52" w:rsidRPr="00667AE7" w:rsidRDefault="00370A52" w:rsidP="00667AE7">
            <w:pPr>
              <w:spacing w:after="0" w:line="240" w:lineRule="auto"/>
              <w:jc w:val="center"/>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2</w:t>
            </w:r>
          </w:p>
        </w:tc>
        <w:tc>
          <w:tcPr>
            <w:tcW w:w="2639" w:type="dxa"/>
            <w:tcBorders>
              <w:top w:val="nil"/>
              <w:left w:val="nil"/>
              <w:bottom w:val="single" w:sz="4" w:space="0" w:color="auto"/>
              <w:right w:val="single" w:sz="4" w:space="0" w:color="auto"/>
            </w:tcBorders>
            <w:shd w:val="clear" w:color="000000" w:fill="FFFFFF"/>
            <w:vAlign w:val="center"/>
            <w:hideMark/>
          </w:tcPr>
          <w:p w14:paraId="570B62EB"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Concentración de funcionalidades del aplicativo en un usuario.</w:t>
            </w:r>
          </w:p>
        </w:tc>
        <w:tc>
          <w:tcPr>
            <w:tcW w:w="258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DEAE34"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R35 Posibilidad de manipular o adulterar el SIIF Nación en beneficio propio o de terceros</w:t>
            </w:r>
          </w:p>
        </w:tc>
        <w:tc>
          <w:tcPr>
            <w:tcW w:w="1764" w:type="dxa"/>
            <w:tcBorders>
              <w:top w:val="nil"/>
              <w:left w:val="nil"/>
              <w:bottom w:val="single" w:sz="4" w:space="0" w:color="auto"/>
              <w:right w:val="single" w:sz="4" w:space="0" w:color="auto"/>
            </w:tcBorders>
            <w:shd w:val="clear" w:color="000000" w:fill="FFFFFF"/>
            <w:vAlign w:val="center"/>
            <w:hideMark/>
          </w:tcPr>
          <w:p w14:paraId="7BCE031D"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Verificar asignación de  perfiles de usuario</w:t>
            </w:r>
          </w:p>
        </w:tc>
        <w:tc>
          <w:tcPr>
            <w:tcW w:w="2094" w:type="dxa"/>
            <w:tcBorders>
              <w:top w:val="nil"/>
              <w:left w:val="nil"/>
              <w:bottom w:val="single" w:sz="4" w:space="0" w:color="auto"/>
              <w:right w:val="single" w:sz="4" w:space="0" w:color="auto"/>
            </w:tcBorders>
            <w:shd w:val="clear" w:color="000000" w:fill="FFFFFF"/>
            <w:vAlign w:val="center"/>
            <w:hideMark/>
          </w:tcPr>
          <w:p w14:paraId="295A640D" w14:textId="77777777" w:rsidR="00370A52"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 identificó que el control establece su propósito para evitar la materialización del riesgo. </w:t>
            </w:r>
          </w:p>
          <w:p w14:paraId="0BBD0B96"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lastRenderedPageBreak/>
              <w:t>Está relacionado con causas identificadas.</w:t>
            </w:r>
          </w:p>
        </w:tc>
        <w:tc>
          <w:tcPr>
            <w:tcW w:w="3440" w:type="dxa"/>
            <w:tcBorders>
              <w:top w:val="nil"/>
              <w:left w:val="nil"/>
              <w:bottom w:val="single" w:sz="4" w:space="0" w:color="auto"/>
              <w:right w:val="single" w:sz="4" w:space="0" w:color="auto"/>
            </w:tcBorders>
            <w:shd w:val="clear" w:color="000000" w:fill="FFFFFF"/>
            <w:vAlign w:val="center"/>
            <w:hideMark/>
          </w:tcPr>
          <w:p w14:paraId="6E722A31"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lastRenderedPageBreak/>
              <w:t xml:space="preserve">De acuerdo con lo reportado por el </w:t>
            </w:r>
            <w:r>
              <w:rPr>
                <w:rFonts w:ascii="Arial" w:eastAsia="Times New Roman" w:hAnsi="Arial" w:cs="Arial"/>
                <w:color w:val="000000"/>
                <w:sz w:val="20"/>
                <w:szCs w:val="20"/>
                <w:lang w:eastAsia="es-CO"/>
              </w:rPr>
              <w:t>proceso</w:t>
            </w:r>
            <w:r w:rsidRPr="00667AE7">
              <w:rPr>
                <w:rFonts w:ascii="Arial" w:eastAsia="Times New Roman" w:hAnsi="Arial" w:cs="Arial"/>
                <w:color w:val="000000"/>
                <w:sz w:val="20"/>
                <w:szCs w:val="20"/>
                <w:lang w:eastAsia="es-CO"/>
              </w:rPr>
              <w:t xml:space="preserve"> en el SMGI, durante el periodo evaluado se organizaron</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 xml:space="preserve">las funcionalidades de usuarios, parametrizando permisos y se </w:t>
            </w:r>
            <w:r w:rsidRPr="00667AE7">
              <w:rPr>
                <w:rFonts w:ascii="Arial" w:eastAsia="Times New Roman" w:hAnsi="Arial" w:cs="Arial"/>
                <w:color w:val="000000"/>
                <w:sz w:val="20"/>
                <w:szCs w:val="20"/>
                <w:lang w:eastAsia="es-CO"/>
              </w:rPr>
              <w:lastRenderedPageBreak/>
              <w:t xml:space="preserve">aplicaron las políticas de asignación de perfiles. </w:t>
            </w:r>
          </w:p>
        </w:tc>
        <w:tc>
          <w:tcPr>
            <w:tcW w:w="2514" w:type="dxa"/>
            <w:tcBorders>
              <w:top w:val="nil"/>
              <w:left w:val="nil"/>
              <w:bottom w:val="single" w:sz="4" w:space="0" w:color="auto"/>
              <w:right w:val="single" w:sz="4" w:space="0" w:color="auto"/>
            </w:tcBorders>
            <w:shd w:val="clear" w:color="000000" w:fill="FFFFFF"/>
            <w:vAlign w:val="center"/>
            <w:hideMark/>
          </w:tcPr>
          <w:p w14:paraId="2CC99C8D"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lastRenderedPageBreak/>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 xml:space="preserve">segundo cuatrimestre de la vigencia 2021. </w:t>
            </w:r>
          </w:p>
        </w:tc>
      </w:tr>
      <w:tr w:rsidR="00370A52" w:rsidRPr="00667AE7" w14:paraId="18C806EF" w14:textId="77777777" w:rsidTr="00667AE7">
        <w:trPr>
          <w:trHeight w:val="855"/>
        </w:trPr>
        <w:tc>
          <w:tcPr>
            <w:tcW w:w="557" w:type="dxa"/>
            <w:vMerge/>
            <w:tcBorders>
              <w:top w:val="nil"/>
              <w:left w:val="single" w:sz="4" w:space="0" w:color="auto"/>
              <w:bottom w:val="single" w:sz="4" w:space="0" w:color="000000"/>
              <w:right w:val="single" w:sz="4" w:space="0" w:color="auto"/>
            </w:tcBorders>
            <w:vAlign w:val="center"/>
            <w:hideMark/>
          </w:tcPr>
          <w:p w14:paraId="67ED24CF" w14:textId="77777777" w:rsidR="00370A52" w:rsidRPr="00667AE7" w:rsidRDefault="00370A52" w:rsidP="00667AE7">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0FAA1668"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Acceso no autorizado a los datos contenidos en el SIIF Nación.</w:t>
            </w:r>
          </w:p>
        </w:tc>
        <w:tc>
          <w:tcPr>
            <w:tcW w:w="2586" w:type="dxa"/>
            <w:vMerge/>
            <w:tcBorders>
              <w:top w:val="nil"/>
              <w:left w:val="single" w:sz="4" w:space="0" w:color="auto"/>
              <w:bottom w:val="single" w:sz="4" w:space="0" w:color="000000"/>
              <w:right w:val="single" w:sz="4" w:space="0" w:color="auto"/>
            </w:tcBorders>
            <w:vAlign w:val="center"/>
            <w:hideMark/>
          </w:tcPr>
          <w:p w14:paraId="0B2A5B44"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17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FBFE1E"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Modificar datos para su uso en pruebas</w:t>
            </w:r>
          </w:p>
        </w:tc>
        <w:tc>
          <w:tcPr>
            <w:tcW w:w="20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50AA80" w14:textId="77777777" w:rsidR="00370A52"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 identificó que el control establece su propósito para evitar la materialización del riesgo. </w:t>
            </w:r>
          </w:p>
          <w:p w14:paraId="59A9D607"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84A91A"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Según lo expuesto por el </w:t>
            </w:r>
            <w:r>
              <w:rPr>
                <w:rFonts w:ascii="Arial" w:eastAsia="Times New Roman" w:hAnsi="Arial" w:cs="Arial"/>
                <w:color w:val="000000"/>
                <w:sz w:val="20"/>
                <w:szCs w:val="20"/>
                <w:lang w:eastAsia="es-CO"/>
              </w:rPr>
              <w:t xml:space="preserve">proceso </w:t>
            </w:r>
            <w:r w:rsidRPr="00667AE7">
              <w:rPr>
                <w:rFonts w:ascii="Arial" w:eastAsia="Times New Roman" w:hAnsi="Arial" w:cs="Arial"/>
                <w:color w:val="000000"/>
                <w:sz w:val="20"/>
                <w:szCs w:val="20"/>
                <w:lang w:eastAsia="es-CO"/>
              </w:rPr>
              <w:t xml:space="preserve">en el SMGI, en el periodo revisado se efectuaron las copias de datos de producción de ambientes de pruebas previniendo que en dichos ambientes se revelen datos exactos. </w:t>
            </w:r>
          </w:p>
        </w:tc>
        <w:tc>
          <w:tcPr>
            <w:tcW w:w="25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582D20"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segundo cuatrimestre</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 xml:space="preserve">de la vigencia 2021. </w:t>
            </w:r>
          </w:p>
        </w:tc>
      </w:tr>
      <w:tr w:rsidR="00370A52" w:rsidRPr="00667AE7" w14:paraId="522D0E75" w14:textId="77777777" w:rsidTr="00667AE7">
        <w:trPr>
          <w:trHeight w:val="85"/>
        </w:trPr>
        <w:tc>
          <w:tcPr>
            <w:tcW w:w="557" w:type="dxa"/>
            <w:vMerge/>
            <w:tcBorders>
              <w:top w:val="nil"/>
              <w:left w:val="single" w:sz="4" w:space="0" w:color="auto"/>
              <w:bottom w:val="single" w:sz="4" w:space="0" w:color="000000"/>
              <w:right w:val="single" w:sz="4" w:space="0" w:color="auto"/>
            </w:tcBorders>
            <w:vAlign w:val="center"/>
            <w:hideMark/>
          </w:tcPr>
          <w:p w14:paraId="4CBEBE4A" w14:textId="77777777" w:rsidR="00370A52" w:rsidRPr="00667AE7" w:rsidRDefault="00370A52" w:rsidP="00667AE7">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4C96F0F4"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Uso de datos de producción en ambientes de pruebas</w:t>
            </w:r>
          </w:p>
        </w:tc>
        <w:tc>
          <w:tcPr>
            <w:tcW w:w="2586" w:type="dxa"/>
            <w:vMerge/>
            <w:tcBorders>
              <w:top w:val="nil"/>
              <w:left w:val="single" w:sz="4" w:space="0" w:color="auto"/>
              <w:bottom w:val="single" w:sz="4" w:space="0" w:color="000000"/>
              <w:right w:val="single" w:sz="4" w:space="0" w:color="auto"/>
            </w:tcBorders>
            <w:vAlign w:val="center"/>
            <w:hideMark/>
          </w:tcPr>
          <w:p w14:paraId="55A692D6"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1764" w:type="dxa"/>
            <w:vMerge/>
            <w:tcBorders>
              <w:top w:val="nil"/>
              <w:left w:val="single" w:sz="4" w:space="0" w:color="auto"/>
              <w:bottom w:val="single" w:sz="4" w:space="0" w:color="000000"/>
              <w:right w:val="single" w:sz="4" w:space="0" w:color="auto"/>
            </w:tcBorders>
            <w:vAlign w:val="center"/>
            <w:hideMark/>
          </w:tcPr>
          <w:p w14:paraId="725BFF8B"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2094" w:type="dxa"/>
            <w:vMerge/>
            <w:tcBorders>
              <w:top w:val="nil"/>
              <w:left w:val="single" w:sz="4" w:space="0" w:color="auto"/>
              <w:bottom w:val="single" w:sz="4" w:space="0" w:color="000000"/>
              <w:right w:val="single" w:sz="4" w:space="0" w:color="auto"/>
            </w:tcBorders>
            <w:vAlign w:val="center"/>
            <w:hideMark/>
          </w:tcPr>
          <w:p w14:paraId="4E67759A"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3440" w:type="dxa"/>
            <w:vMerge/>
            <w:tcBorders>
              <w:top w:val="nil"/>
              <w:left w:val="single" w:sz="4" w:space="0" w:color="auto"/>
              <w:bottom w:val="single" w:sz="4" w:space="0" w:color="000000"/>
              <w:right w:val="single" w:sz="4" w:space="0" w:color="auto"/>
            </w:tcBorders>
            <w:vAlign w:val="center"/>
            <w:hideMark/>
          </w:tcPr>
          <w:p w14:paraId="72176364"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2514" w:type="dxa"/>
            <w:vMerge/>
            <w:tcBorders>
              <w:top w:val="nil"/>
              <w:left w:val="single" w:sz="4" w:space="0" w:color="auto"/>
              <w:bottom w:val="single" w:sz="4" w:space="0" w:color="000000"/>
              <w:right w:val="single" w:sz="4" w:space="0" w:color="auto"/>
            </w:tcBorders>
            <w:vAlign w:val="center"/>
            <w:hideMark/>
          </w:tcPr>
          <w:p w14:paraId="064CFA5A"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r>
      <w:tr w:rsidR="00370A52" w:rsidRPr="00667AE7" w14:paraId="6F8BBFBD" w14:textId="77777777" w:rsidTr="00703C25">
        <w:trPr>
          <w:trHeight w:val="1684"/>
        </w:trPr>
        <w:tc>
          <w:tcPr>
            <w:tcW w:w="5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908E73" w14:textId="77777777" w:rsidR="00370A52" w:rsidRPr="00667AE7" w:rsidRDefault="00370A52" w:rsidP="00667AE7">
            <w:pPr>
              <w:spacing w:after="0" w:line="240" w:lineRule="auto"/>
              <w:jc w:val="center"/>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3</w:t>
            </w:r>
          </w:p>
        </w:tc>
        <w:tc>
          <w:tcPr>
            <w:tcW w:w="2639" w:type="dxa"/>
            <w:tcBorders>
              <w:top w:val="nil"/>
              <w:left w:val="nil"/>
              <w:bottom w:val="single" w:sz="4" w:space="0" w:color="auto"/>
              <w:right w:val="single" w:sz="4" w:space="0" w:color="auto"/>
            </w:tcBorders>
            <w:shd w:val="clear" w:color="000000" w:fill="FFFFFF"/>
            <w:vAlign w:val="center"/>
            <w:hideMark/>
          </w:tcPr>
          <w:p w14:paraId="35B5937E"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Proyectos normativos sin cadena de revisión.</w:t>
            </w: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E807B7"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R36 Acomodar el contenido de los proyectos de decretos, resoluciones y demás actos y/o actuaciones administrativas, para beneficio propio o de terceros</w:t>
            </w:r>
          </w:p>
        </w:tc>
        <w:tc>
          <w:tcPr>
            <w:tcW w:w="1764" w:type="dxa"/>
            <w:tcBorders>
              <w:top w:val="nil"/>
              <w:left w:val="nil"/>
              <w:bottom w:val="single" w:sz="4" w:space="0" w:color="auto"/>
              <w:right w:val="single" w:sz="4" w:space="0" w:color="auto"/>
            </w:tcBorders>
            <w:shd w:val="clear" w:color="000000" w:fill="FFFFFF"/>
            <w:vAlign w:val="center"/>
            <w:hideMark/>
          </w:tcPr>
          <w:p w14:paraId="0D7CC123"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Revisión de la Secretaría Jurídica de Presidencia como última instancia</w:t>
            </w:r>
          </w:p>
        </w:tc>
        <w:tc>
          <w:tcPr>
            <w:tcW w:w="2094" w:type="dxa"/>
            <w:tcBorders>
              <w:top w:val="nil"/>
              <w:left w:val="nil"/>
              <w:bottom w:val="single" w:sz="4" w:space="0" w:color="auto"/>
              <w:right w:val="single" w:sz="4" w:space="0" w:color="auto"/>
            </w:tcBorders>
            <w:shd w:val="clear" w:color="000000" w:fill="FFFFFF"/>
            <w:vAlign w:val="center"/>
            <w:hideMark/>
          </w:tcPr>
          <w:p w14:paraId="060A2466" w14:textId="77777777" w:rsidR="00370A52"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 identificó que el control establece su propósito para evitar la materialización del riesgo. </w:t>
            </w:r>
          </w:p>
          <w:p w14:paraId="4E2317DF"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tcBorders>
              <w:top w:val="nil"/>
              <w:left w:val="nil"/>
              <w:bottom w:val="single" w:sz="4" w:space="0" w:color="auto"/>
              <w:right w:val="single" w:sz="4" w:space="0" w:color="auto"/>
            </w:tcBorders>
            <w:shd w:val="clear" w:color="000000" w:fill="FFFFFF"/>
            <w:vAlign w:val="center"/>
            <w:hideMark/>
          </w:tcPr>
          <w:p w14:paraId="3357B668"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De acuerdo con lo manifestado por </w:t>
            </w:r>
            <w:r>
              <w:rPr>
                <w:rFonts w:ascii="Arial" w:eastAsia="Times New Roman" w:hAnsi="Arial" w:cs="Arial"/>
                <w:color w:val="000000"/>
                <w:sz w:val="20"/>
                <w:szCs w:val="20"/>
                <w:lang w:eastAsia="es-CO"/>
              </w:rPr>
              <w:t>el</w:t>
            </w:r>
            <w:r w:rsidRPr="00667AE7">
              <w:rPr>
                <w:rFonts w:ascii="Arial" w:eastAsia="Times New Roman" w:hAnsi="Arial" w:cs="Arial"/>
                <w:color w:val="000000"/>
                <w:sz w:val="20"/>
                <w:szCs w:val="20"/>
                <w:lang w:eastAsia="es-CO"/>
              </w:rPr>
              <w:t xml:space="preserve"> </w:t>
            </w:r>
            <w:r>
              <w:rPr>
                <w:rFonts w:ascii="Arial" w:eastAsia="Times New Roman" w:hAnsi="Arial" w:cs="Arial"/>
                <w:color w:val="000000"/>
                <w:sz w:val="20"/>
                <w:szCs w:val="20"/>
                <w:lang w:eastAsia="es-CO"/>
              </w:rPr>
              <w:t>proceso</w:t>
            </w:r>
            <w:r w:rsidRPr="00667AE7">
              <w:rPr>
                <w:rFonts w:ascii="Arial" w:eastAsia="Times New Roman" w:hAnsi="Arial" w:cs="Arial"/>
                <w:color w:val="000000"/>
                <w:sz w:val="20"/>
                <w:szCs w:val="20"/>
                <w:lang w:eastAsia="es-CO"/>
              </w:rPr>
              <w:t xml:space="preserve"> en</w:t>
            </w:r>
            <w:r>
              <w:rPr>
                <w:rFonts w:ascii="Arial" w:eastAsia="Times New Roman" w:hAnsi="Arial" w:cs="Arial"/>
                <w:color w:val="000000"/>
                <w:sz w:val="20"/>
                <w:szCs w:val="20"/>
                <w:lang w:eastAsia="es-CO"/>
              </w:rPr>
              <w:t xml:space="preserve"> el </w:t>
            </w:r>
            <w:r w:rsidRPr="00667AE7">
              <w:rPr>
                <w:rFonts w:ascii="Arial" w:eastAsia="Times New Roman" w:hAnsi="Arial" w:cs="Arial"/>
                <w:color w:val="000000"/>
                <w:sz w:val="20"/>
                <w:szCs w:val="20"/>
                <w:lang w:eastAsia="es-CO"/>
              </w:rPr>
              <w:t xml:space="preserve">SMGI, se tramitaron ante la Secretaría Jurídica de la Presencia de la República los proyectos de decreto formulados en el periodo evaluado a través oficios remitidos a dicha instancia. </w:t>
            </w:r>
          </w:p>
        </w:tc>
        <w:tc>
          <w:tcPr>
            <w:tcW w:w="2514" w:type="dxa"/>
            <w:tcBorders>
              <w:top w:val="nil"/>
              <w:left w:val="nil"/>
              <w:bottom w:val="single" w:sz="4" w:space="0" w:color="auto"/>
              <w:right w:val="single" w:sz="4" w:space="0" w:color="auto"/>
            </w:tcBorders>
            <w:shd w:val="clear" w:color="000000" w:fill="FFFFFF"/>
            <w:vAlign w:val="center"/>
            <w:hideMark/>
          </w:tcPr>
          <w:p w14:paraId="252DF7E5" w14:textId="00854715" w:rsidR="0066083E" w:rsidRPr="00667AE7" w:rsidRDefault="003F76BB"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segundo cuatrimestre de la vigencia 2021.</w:t>
            </w:r>
          </w:p>
        </w:tc>
      </w:tr>
      <w:tr w:rsidR="00370A52" w:rsidRPr="00667AE7" w14:paraId="1DB2AC64" w14:textId="77777777" w:rsidTr="00667AE7">
        <w:trPr>
          <w:trHeight w:val="1185"/>
        </w:trPr>
        <w:tc>
          <w:tcPr>
            <w:tcW w:w="557" w:type="dxa"/>
            <w:vMerge/>
            <w:tcBorders>
              <w:top w:val="nil"/>
              <w:left w:val="single" w:sz="4" w:space="0" w:color="auto"/>
              <w:bottom w:val="single" w:sz="4" w:space="0" w:color="auto"/>
              <w:right w:val="single" w:sz="4" w:space="0" w:color="auto"/>
            </w:tcBorders>
            <w:vAlign w:val="center"/>
            <w:hideMark/>
          </w:tcPr>
          <w:p w14:paraId="5F47B4A9" w14:textId="77777777" w:rsidR="00370A52" w:rsidRPr="00667AE7" w:rsidRDefault="00370A52" w:rsidP="00667AE7">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5CEAB31A"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Omisión de objeciones a proyectos que poseen vicios</w:t>
            </w:r>
          </w:p>
        </w:tc>
        <w:tc>
          <w:tcPr>
            <w:tcW w:w="2586" w:type="dxa"/>
            <w:vMerge/>
            <w:tcBorders>
              <w:top w:val="nil"/>
              <w:left w:val="single" w:sz="4" w:space="0" w:color="auto"/>
              <w:bottom w:val="single" w:sz="4" w:space="0" w:color="auto"/>
              <w:right w:val="single" w:sz="4" w:space="0" w:color="auto"/>
            </w:tcBorders>
            <w:vAlign w:val="center"/>
            <w:hideMark/>
          </w:tcPr>
          <w:p w14:paraId="32E5C204"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17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50D790"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Soportes de los proyectos normativos acorde a las directrices generales de técnica normativa consignados en el decreto 1081 de 2015 o sus modificatorios</w:t>
            </w:r>
          </w:p>
        </w:tc>
        <w:tc>
          <w:tcPr>
            <w:tcW w:w="20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6A8D6C" w14:textId="77777777" w:rsidR="00370A52"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 identificó que el control establece su propósito para evitar la materialización del riesgo. </w:t>
            </w:r>
          </w:p>
          <w:p w14:paraId="75C04777"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829B43"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De acuerdo por lo mencionado por </w:t>
            </w:r>
            <w:r>
              <w:rPr>
                <w:rFonts w:ascii="Arial" w:eastAsia="Times New Roman" w:hAnsi="Arial" w:cs="Arial"/>
                <w:color w:val="000000"/>
                <w:sz w:val="20"/>
                <w:szCs w:val="20"/>
                <w:lang w:eastAsia="es-CO"/>
              </w:rPr>
              <w:t>el proceso</w:t>
            </w:r>
            <w:r w:rsidRPr="00667AE7">
              <w:rPr>
                <w:rFonts w:ascii="Arial" w:eastAsia="Times New Roman" w:hAnsi="Arial" w:cs="Arial"/>
                <w:color w:val="000000"/>
                <w:sz w:val="20"/>
                <w:szCs w:val="20"/>
                <w:lang w:eastAsia="es-CO"/>
              </w:rPr>
              <w:t xml:space="preserve"> en el SMGI, los proyectos normativos que se emitieron en el periodo evaluado se </w:t>
            </w:r>
            <w:r>
              <w:rPr>
                <w:rFonts w:ascii="Arial" w:eastAsia="Times New Roman" w:hAnsi="Arial" w:cs="Arial"/>
                <w:color w:val="000000"/>
                <w:sz w:val="20"/>
                <w:szCs w:val="20"/>
                <w:lang w:eastAsia="es-CO"/>
              </w:rPr>
              <w:t>realizaron</w:t>
            </w:r>
            <w:r w:rsidRPr="00667AE7">
              <w:rPr>
                <w:rFonts w:ascii="Arial" w:eastAsia="Times New Roman" w:hAnsi="Arial" w:cs="Arial"/>
                <w:color w:val="000000"/>
                <w:sz w:val="20"/>
                <w:szCs w:val="20"/>
                <w:lang w:eastAsia="es-CO"/>
              </w:rPr>
              <w:t xml:space="preserve"> cumpliendo las directrices establecidas en la norma, quedando consignado en los archivos físicos del proceso la ejecución de la actividad. </w:t>
            </w:r>
          </w:p>
        </w:tc>
        <w:tc>
          <w:tcPr>
            <w:tcW w:w="25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8B3D11"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 xml:space="preserve">segundo cuatrimestre de la vigencia 2021. </w:t>
            </w:r>
          </w:p>
        </w:tc>
      </w:tr>
      <w:tr w:rsidR="00370A52" w:rsidRPr="00667AE7" w14:paraId="46A5F6B0" w14:textId="77777777" w:rsidTr="00667AE7">
        <w:trPr>
          <w:trHeight w:val="293"/>
        </w:trPr>
        <w:tc>
          <w:tcPr>
            <w:tcW w:w="557" w:type="dxa"/>
            <w:vMerge/>
            <w:tcBorders>
              <w:top w:val="nil"/>
              <w:left w:val="single" w:sz="4" w:space="0" w:color="auto"/>
              <w:bottom w:val="single" w:sz="4" w:space="0" w:color="auto"/>
              <w:right w:val="single" w:sz="4" w:space="0" w:color="auto"/>
            </w:tcBorders>
            <w:vAlign w:val="center"/>
            <w:hideMark/>
          </w:tcPr>
          <w:p w14:paraId="6A8C2B6D" w14:textId="77777777" w:rsidR="00370A52" w:rsidRPr="00667AE7" w:rsidRDefault="00370A52" w:rsidP="00667AE7">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1E6AF028"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Presiones de un superior y abuso de su poder</w:t>
            </w:r>
          </w:p>
        </w:tc>
        <w:tc>
          <w:tcPr>
            <w:tcW w:w="2586" w:type="dxa"/>
            <w:vMerge/>
            <w:tcBorders>
              <w:top w:val="nil"/>
              <w:left w:val="single" w:sz="4" w:space="0" w:color="auto"/>
              <w:bottom w:val="single" w:sz="4" w:space="0" w:color="auto"/>
              <w:right w:val="single" w:sz="4" w:space="0" w:color="auto"/>
            </w:tcBorders>
            <w:vAlign w:val="center"/>
            <w:hideMark/>
          </w:tcPr>
          <w:p w14:paraId="078BF62B"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1764" w:type="dxa"/>
            <w:vMerge/>
            <w:tcBorders>
              <w:top w:val="nil"/>
              <w:left w:val="single" w:sz="4" w:space="0" w:color="auto"/>
              <w:bottom w:val="single" w:sz="4" w:space="0" w:color="000000"/>
              <w:right w:val="single" w:sz="4" w:space="0" w:color="auto"/>
            </w:tcBorders>
            <w:vAlign w:val="center"/>
            <w:hideMark/>
          </w:tcPr>
          <w:p w14:paraId="1F6F759D"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2094" w:type="dxa"/>
            <w:vMerge/>
            <w:tcBorders>
              <w:top w:val="nil"/>
              <w:left w:val="single" w:sz="4" w:space="0" w:color="auto"/>
              <w:bottom w:val="single" w:sz="4" w:space="0" w:color="000000"/>
              <w:right w:val="single" w:sz="4" w:space="0" w:color="auto"/>
            </w:tcBorders>
            <w:vAlign w:val="center"/>
            <w:hideMark/>
          </w:tcPr>
          <w:p w14:paraId="11FFBF09"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3440" w:type="dxa"/>
            <w:vMerge/>
            <w:tcBorders>
              <w:top w:val="nil"/>
              <w:left w:val="single" w:sz="4" w:space="0" w:color="auto"/>
              <w:bottom w:val="single" w:sz="4" w:space="0" w:color="000000"/>
              <w:right w:val="single" w:sz="4" w:space="0" w:color="auto"/>
            </w:tcBorders>
            <w:vAlign w:val="center"/>
            <w:hideMark/>
          </w:tcPr>
          <w:p w14:paraId="1B507C30"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2514" w:type="dxa"/>
            <w:vMerge/>
            <w:tcBorders>
              <w:top w:val="nil"/>
              <w:left w:val="single" w:sz="4" w:space="0" w:color="auto"/>
              <w:bottom w:val="single" w:sz="4" w:space="0" w:color="000000"/>
              <w:right w:val="single" w:sz="4" w:space="0" w:color="auto"/>
            </w:tcBorders>
            <w:vAlign w:val="center"/>
            <w:hideMark/>
          </w:tcPr>
          <w:p w14:paraId="79B8EE96"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r>
      <w:tr w:rsidR="00370A52" w:rsidRPr="00667AE7" w14:paraId="0041576D" w14:textId="77777777" w:rsidTr="00667AE7">
        <w:trPr>
          <w:trHeight w:val="1052"/>
        </w:trPr>
        <w:tc>
          <w:tcPr>
            <w:tcW w:w="557" w:type="dxa"/>
            <w:vMerge/>
            <w:tcBorders>
              <w:top w:val="nil"/>
              <w:left w:val="single" w:sz="4" w:space="0" w:color="auto"/>
              <w:bottom w:val="single" w:sz="4" w:space="0" w:color="auto"/>
              <w:right w:val="single" w:sz="4" w:space="0" w:color="auto"/>
            </w:tcBorders>
            <w:vAlign w:val="center"/>
            <w:hideMark/>
          </w:tcPr>
          <w:p w14:paraId="67F5A410" w14:textId="77777777" w:rsidR="00370A52" w:rsidRPr="00667AE7" w:rsidRDefault="00370A52" w:rsidP="00667AE7">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55A3E9C1"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Sobornos político/clientelismo. Presiones externas</w:t>
            </w:r>
          </w:p>
        </w:tc>
        <w:tc>
          <w:tcPr>
            <w:tcW w:w="2586" w:type="dxa"/>
            <w:vMerge/>
            <w:tcBorders>
              <w:top w:val="nil"/>
              <w:left w:val="single" w:sz="4" w:space="0" w:color="auto"/>
              <w:bottom w:val="single" w:sz="4" w:space="0" w:color="auto"/>
              <w:right w:val="single" w:sz="4" w:space="0" w:color="auto"/>
            </w:tcBorders>
            <w:vAlign w:val="center"/>
            <w:hideMark/>
          </w:tcPr>
          <w:p w14:paraId="0C4B7931"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17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750BBE"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Cadena de revisión y aprobación con al menos dos instancias en la Secretaría General</w:t>
            </w:r>
          </w:p>
        </w:tc>
        <w:tc>
          <w:tcPr>
            <w:tcW w:w="20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5041AE" w14:textId="77777777" w:rsidR="00370A52"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 identificó que el control establece su propósito para evitar la materialización del riesgo. </w:t>
            </w:r>
          </w:p>
          <w:p w14:paraId="08F478E5"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CEA403"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Conforme lo expuesto por el </w:t>
            </w:r>
            <w:r>
              <w:rPr>
                <w:rFonts w:ascii="Arial" w:eastAsia="Times New Roman" w:hAnsi="Arial" w:cs="Arial"/>
                <w:color w:val="000000"/>
                <w:sz w:val="20"/>
                <w:szCs w:val="20"/>
                <w:lang w:eastAsia="es-CO"/>
              </w:rPr>
              <w:t>proceso</w:t>
            </w:r>
            <w:r w:rsidRPr="00667AE7">
              <w:rPr>
                <w:rFonts w:ascii="Arial" w:eastAsia="Times New Roman" w:hAnsi="Arial" w:cs="Arial"/>
                <w:color w:val="000000"/>
                <w:sz w:val="20"/>
                <w:szCs w:val="20"/>
                <w:lang w:eastAsia="es-CO"/>
              </w:rPr>
              <w:t xml:space="preserve"> en el SMGI, durante el periodo evaluado se surtieron las etapas de revisión y aprobación por parte de la Secretaria General quien verific</w:t>
            </w:r>
            <w:r>
              <w:rPr>
                <w:rFonts w:ascii="Arial" w:eastAsia="Times New Roman" w:hAnsi="Arial" w:cs="Arial"/>
                <w:color w:val="000000"/>
                <w:sz w:val="20"/>
                <w:szCs w:val="20"/>
                <w:lang w:eastAsia="es-CO"/>
              </w:rPr>
              <w:t>ó</w:t>
            </w:r>
            <w:r w:rsidRPr="00667AE7">
              <w:rPr>
                <w:rFonts w:ascii="Arial" w:eastAsia="Times New Roman" w:hAnsi="Arial" w:cs="Arial"/>
                <w:color w:val="000000"/>
                <w:sz w:val="20"/>
                <w:szCs w:val="20"/>
                <w:lang w:eastAsia="es-CO"/>
              </w:rPr>
              <w:t xml:space="preserve"> que los documentos para firma del Ministro cuenten con los vistos buenos de los asesores del área</w:t>
            </w:r>
            <w:r>
              <w:rPr>
                <w:rFonts w:ascii="Arial" w:eastAsia="Times New Roman" w:hAnsi="Arial" w:cs="Arial"/>
                <w:color w:val="000000"/>
                <w:sz w:val="20"/>
                <w:szCs w:val="20"/>
                <w:lang w:eastAsia="es-CO"/>
              </w:rPr>
              <w:t>,</w:t>
            </w:r>
            <w:r w:rsidRPr="00667AE7">
              <w:rPr>
                <w:rFonts w:ascii="Arial" w:eastAsia="Times New Roman" w:hAnsi="Arial" w:cs="Arial"/>
                <w:color w:val="000000"/>
                <w:sz w:val="20"/>
                <w:szCs w:val="20"/>
                <w:lang w:eastAsia="es-CO"/>
              </w:rPr>
              <w:t xml:space="preserve"> o apr</w:t>
            </w:r>
            <w:r>
              <w:rPr>
                <w:rFonts w:ascii="Arial" w:eastAsia="Times New Roman" w:hAnsi="Arial" w:cs="Arial"/>
                <w:color w:val="000000"/>
                <w:sz w:val="20"/>
                <w:szCs w:val="20"/>
                <w:lang w:eastAsia="es-CO"/>
              </w:rPr>
              <w:t>obó</w:t>
            </w:r>
            <w:r w:rsidRPr="00667AE7">
              <w:rPr>
                <w:rFonts w:ascii="Arial" w:eastAsia="Times New Roman" w:hAnsi="Arial" w:cs="Arial"/>
                <w:color w:val="000000"/>
                <w:sz w:val="20"/>
                <w:szCs w:val="20"/>
                <w:lang w:eastAsia="es-CO"/>
              </w:rPr>
              <w:t xml:space="preserve"> el contenido de</w:t>
            </w:r>
            <w:r>
              <w:rPr>
                <w:rFonts w:ascii="Arial" w:eastAsia="Times New Roman" w:hAnsi="Arial" w:cs="Arial"/>
                <w:color w:val="000000"/>
                <w:sz w:val="20"/>
                <w:szCs w:val="20"/>
                <w:lang w:eastAsia="es-CO"/>
              </w:rPr>
              <w:t xml:space="preserve"> estos</w:t>
            </w:r>
            <w:r w:rsidRPr="00667AE7">
              <w:rPr>
                <w:rFonts w:ascii="Arial" w:eastAsia="Times New Roman" w:hAnsi="Arial" w:cs="Arial"/>
                <w:color w:val="000000"/>
                <w:sz w:val="20"/>
                <w:szCs w:val="20"/>
                <w:lang w:eastAsia="es-CO"/>
              </w:rPr>
              <w:t xml:space="preserve"> a través de canales como el correo electrónico. </w:t>
            </w:r>
          </w:p>
        </w:tc>
        <w:tc>
          <w:tcPr>
            <w:tcW w:w="25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76D11F"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 xml:space="preserve">segundo cuatrimestre de la vigencia 2021. </w:t>
            </w:r>
          </w:p>
        </w:tc>
      </w:tr>
      <w:tr w:rsidR="00370A52" w:rsidRPr="00667AE7" w14:paraId="0DFA1E9E" w14:textId="77777777" w:rsidTr="00667AE7">
        <w:trPr>
          <w:trHeight w:val="85"/>
        </w:trPr>
        <w:tc>
          <w:tcPr>
            <w:tcW w:w="557" w:type="dxa"/>
            <w:vMerge/>
            <w:tcBorders>
              <w:top w:val="nil"/>
              <w:left w:val="single" w:sz="4" w:space="0" w:color="auto"/>
              <w:bottom w:val="single" w:sz="4" w:space="0" w:color="auto"/>
              <w:right w:val="single" w:sz="4" w:space="0" w:color="auto"/>
            </w:tcBorders>
            <w:vAlign w:val="center"/>
            <w:hideMark/>
          </w:tcPr>
          <w:p w14:paraId="65C396CF" w14:textId="77777777" w:rsidR="00370A52" w:rsidRPr="00667AE7" w:rsidRDefault="00370A52" w:rsidP="00667AE7">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1B7D7578"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Dilatar el trámite del proyecto</w:t>
            </w:r>
          </w:p>
        </w:tc>
        <w:tc>
          <w:tcPr>
            <w:tcW w:w="2586" w:type="dxa"/>
            <w:vMerge/>
            <w:tcBorders>
              <w:top w:val="nil"/>
              <w:left w:val="single" w:sz="4" w:space="0" w:color="auto"/>
              <w:bottom w:val="single" w:sz="4" w:space="0" w:color="auto"/>
              <w:right w:val="single" w:sz="4" w:space="0" w:color="auto"/>
            </w:tcBorders>
            <w:vAlign w:val="center"/>
            <w:hideMark/>
          </w:tcPr>
          <w:p w14:paraId="37103E88"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1764" w:type="dxa"/>
            <w:vMerge/>
            <w:tcBorders>
              <w:top w:val="nil"/>
              <w:left w:val="single" w:sz="4" w:space="0" w:color="auto"/>
              <w:bottom w:val="single" w:sz="4" w:space="0" w:color="000000"/>
              <w:right w:val="single" w:sz="4" w:space="0" w:color="auto"/>
            </w:tcBorders>
            <w:vAlign w:val="center"/>
            <w:hideMark/>
          </w:tcPr>
          <w:p w14:paraId="053BBB41"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2094" w:type="dxa"/>
            <w:vMerge/>
            <w:tcBorders>
              <w:top w:val="nil"/>
              <w:left w:val="single" w:sz="4" w:space="0" w:color="auto"/>
              <w:bottom w:val="single" w:sz="4" w:space="0" w:color="000000"/>
              <w:right w:val="single" w:sz="4" w:space="0" w:color="auto"/>
            </w:tcBorders>
            <w:vAlign w:val="center"/>
            <w:hideMark/>
          </w:tcPr>
          <w:p w14:paraId="5F8B69E7"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3440" w:type="dxa"/>
            <w:vMerge/>
            <w:tcBorders>
              <w:top w:val="nil"/>
              <w:left w:val="single" w:sz="4" w:space="0" w:color="auto"/>
              <w:bottom w:val="single" w:sz="4" w:space="0" w:color="000000"/>
              <w:right w:val="single" w:sz="4" w:space="0" w:color="auto"/>
            </w:tcBorders>
            <w:vAlign w:val="center"/>
            <w:hideMark/>
          </w:tcPr>
          <w:p w14:paraId="026AB317"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2514" w:type="dxa"/>
            <w:vMerge/>
            <w:tcBorders>
              <w:top w:val="nil"/>
              <w:left w:val="single" w:sz="4" w:space="0" w:color="auto"/>
              <w:bottom w:val="single" w:sz="4" w:space="0" w:color="000000"/>
              <w:right w:val="single" w:sz="4" w:space="0" w:color="auto"/>
            </w:tcBorders>
            <w:vAlign w:val="center"/>
            <w:hideMark/>
          </w:tcPr>
          <w:p w14:paraId="5265299C"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r>
      <w:tr w:rsidR="00370A52" w:rsidRPr="00667AE7" w14:paraId="0919A610" w14:textId="77777777" w:rsidTr="00667AE7">
        <w:trPr>
          <w:trHeight w:val="2724"/>
        </w:trPr>
        <w:tc>
          <w:tcPr>
            <w:tcW w:w="5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754ED1" w14:textId="77777777" w:rsidR="00370A52" w:rsidRPr="00667AE7" w:rsidRDefault="00370A52" w:rsidP="00667AE7">
            <w:pPr>
              <w:spacing w:after="0" w:line="240" w:lineRule="auto"/>
              <w:jc w:val="center"/>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lastRenderedPageBreak/>
              <w:t>4</w:t>
            </w:r>
          </w:p>
        </w:tc>
        <w:tc>
          <w:tcPr>
            <w:tcW w:w="2639" w:type="dxa"/>
            <w:tcBorders>
              <w:top w:val="nil"/>
              <w:left w:val="nil"/>
              <w:bottom w:val="single" w:sz="4" w:space="0" w:color="auto"/>
              <w:right w:val="single" w:sz="4" w:space="0" w:color="auto"/>
            </w:tcBorders>
            <w:shd w:val="clear" w:color="000000" w:fill="FFFFFF"/>
            <w:vAlign w:val="center"/>
            <w:hideMark/>
          </w:tcPr>
          <w:p w14:paraId="625D8356"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Durante el diagnóstico o evaluaciones de medidas adoptadas se acepten sobornos para ocultar o adulterar información sobre la situación fiscal y/o sectorial</w:t>
            </w: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846B29"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R38 Ocultar, Omitir, Adulterar o adicionar información/</w:t>
            </w:r>
            <w:r w:rsidRPr="00667AE7">
              <w:rPr>
                <w:rFonts w:ascii="Arial" w:eastAsia="Times New Roman" w:hAnsi="Arial" w:cs="Arial"/>
                <w:color w:val="000000"/>
                <w:sz w:val="20"/>
                <w:szCs w:val="20"/>
                <w:lang w:eastAsia="es-CO"/>
              </w:rPr>
              <w:br/>
              <w:t>documentación de la fiscalización, para beneficio propio o de terceros</w:t>
            </w:r>
          </w:p>
        </w:tc>
        <w:tc>
          <w:tcPr>
            <w:tcW w:w="1764" w:type="dxa"/>
            <w:tcBorders>
              <w:top w:val="nil"/>
              <w:left w:val="nil"/>
              <w:bottom w:val="single" w:sz="4" w:space="0" w:color="auto"/>
              <w:right w:val="single" w:sz="4" w:space="0" w:color="auto"/>
            </w:tcBorders>
            <w:shd w:val="clear" w:color="000000" w:fill="FFFFFF"/>
            <w:vAlign w:val="center"/>
            <w:hideMark/>
          </w:tcPr>
          <w:p w14:paraId="4B0FD378"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Revisar oficios y documentos generados por los responsables sectoriales</w:t>
            </w:r>
          </w:p>
        </w:tc>
        <w:tc>
          <w:tcPr>
            <w:tcW w:w="2094" w:type="dxa"/>
            <w:tcBorders>
              <w:top w:val="nil"/>
              <w:left w:val="nil"/>
              <w:bottom w:val="single" w:sz="4" w:space="0" w:color="auto"/>
              <w:right w:val="single" w:sz="4" w:space="0" w:color="auto"/>
            </w:tcBorders>
            <w:shd w:val="clear" w:color="000000" w:fill="FFFFFF"/>
            <w:vAlign w:val="center"/>
            <w:hideMark/>
          </w:tcPr>
          <w:p w14:paraId="393078B0" w14:textId="77777777" w:rsidR="00370A52"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 identificó que el control establece su propósito para evitar la materialización del riesgo. </w:t>
            </w:r>
          </w:p>
          <w:p w14:paraId="1392C677"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tcBorders>
              <w:top w:val="nil"/>
              <w:left w:val="nil"/>
              <w:bottom w:val="single" w:sz="4" w:space="0" w:color="auto"/>
              <w:right w:val="single" w:sz="4" w:space="0" w:color="auto"/>
            </w:tcBorders>
            <w:shd w:val="clear" w:color="000000" w:fill="FFFFFF"/>
            <w:vAlign w:val="center"/>
            <w:hideMark/>
          </w:tcPr>
          <w:p w14:paraId="00D4847F" w14:textId="77777777" w:rsidR="00370A52"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Según lo manifestado por el </w:t>
            </w:r>
            <w:r>
              <w:rPr>
                <w:rFonts w:ascii="Arial" w:eastAsia="Times New Roman" w:hAnsi="Arial" w:cs="Arial"/>
                <w:color w:val="000000"/>
                <w:sz w:val="20"/>
                <w:szCs w:val="20"/>
                <w:lang w:eastAsia="es-CO"/>
              </w:rPr>
              <w:t>proceso</w:t>
            </w:r>
            <w:r w:rsidRPr="00667AE7">
              <w:rPr>
                <w:rFonts w:ascii="Arial" w:eastAsia="Times New Roman" w:hAnsi="Arial" w:cs="Arial"/>
                <w:color w:val="000000"/>
                <w:sz w:val="20"/>
                <w:szCs w:val="20"/>
                <w:lang w:eastAsia="es-CO"/>
              </w:rPr>
              <w:t xml:space="preserve"> en el SMGI, durante el periodo monitoreado se realizaron las respectivas verificaciones con el fin de que los documentos surtieran las revisiones de acuerdo con lo establecido en el procedimiento, se </w:t>
            </w:r>
            <w:r>
              <w:rPr>
                <w:rFonts w:ascii="Arial" w:eastAsia="Times New Roman" w:hAnsi="Arial" w:cs="Arial"/>
                <w:color w:val="000000"/>
                <w:sz w:val="20"/>
                <w:szCs w:val="20"/>
                <w:lang w:eastAsia="es-CO"/>
              </w:rPr>
              <w:t>reportaron</w:t>
            </w:r>
            <w:r w:rsidRPr="00667AE7">
              <w:rPr>
                <w:rFonts w:ascii="Arial" w:eastAsia="Times New Roman" w:hAnsi="Arial" w:cs="Arial"/>
                <w:color w:val="000000"/>
                <w:sz w:val="20"/>
                <w:szCs w:val="20"/>
                <w:lang w:eastAsia="es-CO"/>
              </w:rPr>
              <w:t xml:space="preserve"> novedades que se gestionaron mediante acciones correctivas en el momento.</w:t>
            </w:r>
          </w:p>
          <w:p w14:paraId="73EBB7A0"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 evidenciaron soportes que </w:t>
            </w:r>
            <w:r>
              <w:rPr>
                <w:rFonts w:ascii="Arial" w:eastAsia="Times New Roman" w:hAnsi="Arial" w:cs="Arial"/>
                <w:color w:val="000000"/>
                <w:sz w:val="20"/>
                <w:szCs w:val="20"/>
                <w:lang w:eastAsia="es-CO"/>
              </w:rPr>
              <w:t xml:space="preserve">hacen referencia a </w:t>
            </w:r>
            <w:r w:rsidRPr="00667AE7">
              <w:rPr>
                <w:rFonts w:ascii="Arial" w:eastAsia="Times New Roman" w:hAnsi="Arial" w:cs="Arial"/>
                <w:color w:val="000000"/>
                <w:sz w:val="20"/>
                <w:szCs w:val="20"/>
                <w:lang w:eastAsia="es-CO"/>
              </w:rPr>
              <w:t>mencionadas revisiones.</w:t>
            </w:r>
          </w:p>
        </w:tc>
        <w:tc>
          <w:tcPr>
            <w:tcW w:w="2514" w:type="dxa"/>
            <w:tcBorders>
              <w:top w:val="nil"/>
              <w:left w:val="nil"/>
              <w:bottom w:val="single" w:sz="4" w:space="0" w:color="auto"/>
              <w:right w:val="single" w:sz="4" w:space="0" w:color="auto"/>
            </w:tcBorders>
            <w:shd w:val="clear" w:color="000000" w:fill="FFFFFF"/>
            <w:vAlign w:val="center"/>
            <w:hideMark/>
          </w:tcPr>
          <w:p w14:paraId="34F07DDF"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 xml:space="preserve">segundo cuatrimestre de la vigencia 2021. </w:t>
            </w:r>
          </w:p>
        </w:tc>
      </w:tr>
      <w:tr w:rsidR="00370A52" w:rsidRPr="00667AE7" w14:paraId="337496AE" w14:textId="77777777" w:rsidTr="00667AE7">
        <w:trPr>
          <w:trHeight w:val="198"/>
        </w:trPr>
        <w:tc>
          <w:tcPr>
            <w:tcW w:w="557" w:type="dxa"/>
            <w:vMerge/>
            <w:tcBorders>
              <w:top w:val="nil"/>
              <w:left w:val="single" w:sz="4" w:space="0" w:color="auto"/>
              <w:bottom w:val="single" w:sz="4" w:space="0" w:color="auto"/>
              <w:right w:val="single" w:sz="4" w:space="0" w:color="auto"/>
            </w:tcBorders>
            <w:vAlign w:val="center"/>
            <w:hideMark/>
          </w:tcPr>
          <w:p w14:paraId="38046351" w14:textId="77777777" w:rsidR="00370A52" w:rsidRPr="00667AE7" w:rsidRDefault="00370A52" w:rsidP="00667AE7">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1B62FA69"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Amiguismo que lleva a tratamientos especiales para las entidades</w:t>
            </w:r>
          </w:p>
        </w:tc>
        <w:tc>
          <w:tcPr>
            <w:tcW w:w="2586" w:type="dxa"/>
            <w:vMerge/>
            <w:tcBorders>
              <w:top w:val="nil"/>
              <w:left w:val="single" w:sz="4" w:space="0" w:color="auto"/>
              <w:bottom w:val="single" w:sz="4" w:space="0" w:color="auto"/>
              <w:right w:val="single" w:sz="4" w:space="0" w:color="auto"/>
            </w:tcBorders>
            <w:vAlign w:val="center"/>
            <w:hideMark/>
          </w:tcPr>
          <w:p w14:paraId="3F2D5BC5"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17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26754C"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Revisión de la completitud en la entrega de la información solicitada a las entidades territoriales </w:t>
            </w:r>
          </w:p>
        </w:tc>
        <w:tc>
          <w:tcPr>
            <w:tcW w:w="20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6ED18E" w14:textId="77777777" w:rsidR="00370A52"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 identificó que el control establece su propósito para evitar la materialización del riesgo. </w:t>
            </w:r>
          </w:p>
          <w:p w14:paraId="766A1278"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537649"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Según lo manifestado por el </w:t>
            </w:r>
            <w:r>
              <w:rPr>
                <w:rFonts w:ascii="Arial" w:eastAsia="Times New Roman" w:hAnsi="Arial" w:cs="Arial"/>
                <w:color w:val="000000"/>
                <w:sz w:val="20"/>
                <w:szCs w:val="20"/>
                <w:lang w:eastAsia="es-CO"/>
              </w:rPr>
              <w:t>proceso</w:t>
            </w:r>
            <w:r w:rsidRPr="00667AE7">
              <w:rPr>
                <w:rFonts w:ascii="Arial" w:eastAsia="Times New Roman" w:hAnsi="Arial" w:cs="Arial"/>
                <w:color w:val="000000"/>
                <w:sz w:val="20"/>
                <w:szCs w:val="20"/>
                <w:lang w:eastAsia="es-CO"/>
              </w:rPr>
              <w:t xml:space="preserve"> en el SMGI, durante el periodo monitoreado se realizaron las respectivas verificaciones</w:t>
            </w:r>
            <w:r>
              <w:rPr>
                <w:rFonts w:ascii="Arial" w:eastAsia="Times New Roman" w:hAnsi="Arial" w:cs="Arial"/>
                <w:color w:val="000000"/>
                <w:sz w:val="20"/>
                <w:szCs w:val="20"/>
                <w:lang w:eastAsia="es-CO"/>
              </w:rPr>
              <w:t>,</w:t>
            </w:r>
            <w:r w:rsidRPr="00667AE7">
              <w:rPr>
                <w:rFonts w:ascii="Arial" w:eastAsia="Times New Roman" w:hAnsi="Arial" w:cs="Arial"/>
                <w:color w:val="000000"/>
                <w:sz w:val="20"/>
                <w:szCs w:val="20"/>
                <w:lang w:eastAsia="es-CO"/>
              </w:rPr>
              <w:t xml:space="preserve"> con el fin de garantizar la completitud en los informes emitidos y la información entregada a las entidades.</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Se</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 xml:space="preserve">evidenciaron soportes que </w:t>
            </w:r>
            <w:r>
              <w:rPr>
                <w:rFonts w:ascii="Arial" w:eastAsia="Times New Roman" w:hAnsi="Arial" w:cs="Arial"/>
                <w:color w:val="000000"/>
                <w:sz w:val="20"/>
                <w:szCs w:val="20"/>
                <w:lang w:eastAsia="es-CO"/>
              </w:rPr>
              <w:t xml:space="preserve">hacen referencia a </w:t>
            </w:r>
            <w:r w:rsidRPr="00667AE7">
              <w:rPr>
                <w:rFonts w:ascii="Arial" w:eastAsia="Times New Roman" w:hAnsi="Arial" w:cs="Arial"/>
                <w:color w:val="000000"/>
                <w:sz w:val="20"/>
                <w:szCs w:val="20"/>
                <w:lang w:eastAsia="es-CO"/>
              </w:rPr>
              <w:t>mencionadas revisiones</w:t>
            </w:r>
          </w:p>
        </w:tc>
        <w:tc>
          <w:tcPr>
            <w:tcW w:w="25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EDAF8D"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 xml:space="preserve">segundo cuatrimestre de la vigencia 2021. </w:t>
            </w:r>
          </w:p>
        </w:tc>
      </w:tr>
      <w:tr w:rsidR="00370A52" w:rsidRPr="00667AE7" w14:paraId="6780D73C" w14:textId="77777777" w:rsidTr="00667AE7">
        <w:trPr>
          <w:trHeight w:val="842"/>
        </w:trPr>
        <w:tc>
          <w:tcPr>
            <w:tcW w:w="557" w:type="dxa"/>
            <w:vMerge/>
            <w:tcBorders>
              <w:top w:val="nil"/>
              <w:left w:val="single" w:sz="4" w:space="0" w:color="auto"/>
              <w:bottom w:val="single" w:sz="4" w:space="0" w:color="auto"/>
              <w:right w:val="single" w:sz="4" w:space="0" w:color="auto"/>
            </w:tcBorders>
            <w:vAlign w:val="center"/>
            <w:hideMark/>
          </w:tcPr>
          <w:p w14:paraId="1AC55E9D" w14:textId="77777777" w:rsidR="00370A52" w:rsidRPr="00667AE7" w:rsidRDefault="00370A52" w:rsidP="00667AE7">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20CB78DD"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Flexibilidad y subjetividad en la verificación de las evidencias para disminuir la carga laboral</w:t>
            </w:r>
          </w:p>
        </w:tc>
        <w:tc>
          <w:tcPr>
            <w:tcW w:w="2586" w:type="dxa"/>
            <w:vMerge/>
            <w:tcBorders>
              <w:top w:val="nil"/>
              <w:left w:val="single" w:sz="4" w:space="0" w:color="auto"/>
              <w:bottom w:val="single" w:sz="4" w:space="0" w:color="auto"/>
              <w:right w:val="single" w:sz="4" w:space="0" w:color="auto"/>
            </w:tcBorders>
            <w:vAlign w:val="center"/>
            <w:hideMark/>
          </w:tcPr>
          <w:p w14:paraId="38E8893B"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1764" w:type="dxa"/>
            <w:vMerge/>
            <w:tcBorders>
              <w:top w:val="nil"/>
              <w:left w:val="single" w:sz="4" w:space="0" w:color="auto"/>
              <w:bottom w:val="single" w:sz="4" w:space="0" w:color="000000"/>
              <w:right w:val="single" w:sz="4" w:space="0" w:color="auto"/>
            </w:tcBorders>
            <w:vAlign w:val="center"/>
            <w:hideMark/>
          </w:tcPr>
          <w:p w14:paraId="4BE57932"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2094" w:type="dxa"/>
            <w:vMerge/>
            <w:tcBorders>
              <w:top w:val="nil"/>
              <w:left w:val="single" w:sz="4" w:space="0" w:color="auto"/>
              <w:bottom w:val="single" w:sz="4" w:space="0" w:color="000000"/>
              <w:right w:val="single" w:sz="4" w:space="0" w:color="auto"/>
            </w:tcBorders>
            <w:vAlign w:val="center"/>
            <w:hideMark/>
          </w:tcPr>
          <w:p w14:paraId="3D67480F"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3440" w:type="dxa"/>
            <w:vMerge/>
            <w:tcBorders>
              <w:top w:val="nil"/>
              <w:left w:val="single" w:sz="4" w:space="0" w:color="auto"/>
              <w:bottom w:val="single" w:sz="4" w:space="0" w:color="000000"/>
              <w:right w:val="single" w:sz="4" w:space="0" w:color="auto"/>
            </w:tcBorders>
            <w:vAlign w:val="center"/>
            <w:hideMark/>
          </w:tcPr>
          <w:p w14:paraId="3E443992"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2514" w:type="dxa"/>
            <w:vMerge/>
            <w:tcBorders>
              <w:top w:val="nil"/>
              <w:left w:val="single" w:sz="4" w:space="0" w:color="auto"/>
              <w:bottom w:val="single" w:sz="4" w:space="0" w:color="000000"/>
              <w:right w:val="single" w:sz="4" w:space="0" w:color="auto"/>
            </w:tcBorders>
            <w:vAlign w:val="center"/>
            <w:hideMark/>
          </w:tcPr>
          <w:p w14:paraId="5A6172E0"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r>
      <w:tr w:rsidR="00370A52" w:rsidRPr="00667AE7" w14:paraId="18D0EC5A" w14:textId="77777777" w:rsidTr="00667AE7">
        <w:trPr>
          <w:trHeight w:val="60"/>
        </w:trPr>
        <w:tc>
          <w:tcPr>
            <w:tcW w:w="557" w:type="dxa"/>
            <w:vMerge/>
            <w:tcBorders>
              <w:top w:val="nil"/>
              <w:left w:val="single" w:sz="4" w:space="0" w:color="auto"/>
              <w:bottom w:val="single" w:sz="4" w:space="0" w:color="auto"/>
              <w:right w:val="single" w:sz="4" w:space="0" w:color="auto"/>
            </w:tcBorders>
            <w:vAlign w:val="center"/>
            <w:hideMark/>
          </w:tcPr>
          <w:p w14:paraId="54CE0D29" w14:textId="77777777" w:rsidR="00370A52" w:rsidRPr="00667AE7" w:rsidRDefault="00370A52" w:rsidP="00667AE7">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7FDBBB1A"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Presiones externas o de un superior</w:t>
            </w:r>
          </w:p>
        </w:tc>
        <w:tc>
          <w:tcPr>
            <w:tcW w:w="2586" w:type="dxa"/>
            <w:vMerge/>
            <w:tcBorders>
              <w:top w:val="nil"/>
              <w:left w:val="single" w:sz="4" w:space="0" w:color="auto"/>
              <w:bottom w:val="single" w:sz="4" w:space="0" w:color="auto"/>
              <w:right w:val="single" w:sz="4" w:space="0" w:color="auto"/>
            </w:tcBorders>
            <w:vAlign w:val="center"/>
            <w:hideMark/>
          </w:tcPr>
          <w:p w14:paraId="2BA5D327"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17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A238A4"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Verificación de conflicto de intereses de los responsables sectoriales</w:t>
            </w:r>
          </w:p>
        </w:tc>
        <w:tc>
          <w:tcPr>
            <w:tcW w:w="20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63AB44" w14:textId="77777777" w:rsidR="00370A52"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 identificó que el control establece su propósito para evitar la materialización del riesgo. </w:t>
            </w:r>
          </w:p>
          <w:p w14:paraId="77AE38AD"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C1310B"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De acuerdo con lo descrito por el </w:t>
            </w:r>
            <w:r>
              <w:rPr>
                <w:rFonts w:ascii="Arial" w:eastAsia="Times New Roman" w:hAnsi="Arial" w:cs="Arial"/>
                <w:color w:val="000000"/>
                <w:sz w:val="20"/>
                <w:szCs w:val="20"/>
                <w:lang w:eastAsia="es-CO"/>
              </w:rPr>
              <w:t>proceso</w:t>
            </w:r>
            <w:r w:rsidRPr="00667AE7">
              <w:rPr>
                <w:rFonts w:ascii="Arial" w:eastAsia="Times New Roman" w:hAnsi="Arial" w:cs="Arial"/>
                <w:color w:val="000000"/>
                <w:sz w:val="20"/>
                <w:szCs w:val="20"/>
                <w:lang w:eastAsia="es-CO"/>
              </w:rPr>
              <w:t xml:space="preserve"> en el SMGI, durante el periodo evaluado se suscribieron formatos de conflicto de interés de conformidad con la frecuencia de aplicación del </w:t>
            </w:r>
            <w:r>
              <w:rPr>
                <w:rFonts w:ascii="Arial" w:eastAsia="Times New Roman" w:hAnsi="Arial" w:cs="Arial"/>
                <w:color w:val="000000"/>
                <w:sz w:val="20"/>
                <w:szCs w:val="20"/>
                <w:lang w:eastAsia="es-CO"/>
              </w:rPr>
              <w:t>control</w:t>
            </w:r>
            <w:r w:rsidRPr="00667AE7">
              <w:rPr>
                <w:rFonts w:ascii="Arial" w:eastAsia="Times New Roman" w:hAnsi="Arial" w:cs="Arial"/>
                <w:color w:val="000000"/>
                <w:sz w:val="20"/>
                <w:szCs w:val="20"/>
                <w:lang w:eastAsia="es-CO"/>
              </w:rPr>
              <w:t>. Se evidenció la creación del repositorio de dicha información la cual está bajo custodia del proceso en razón a que contiene información clasificada .</w:t>
            </w:r>
          </w:p>
        </w:tc>
        <w:tc>
          <w:tcPr>
            <w:tcW w:w="25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8357ED"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 xml:space="preserve">segundo cuatrimestre de la vigencia 2021. </w:t>
            </w:r>
          </w:p>
        </w:tc>
      </w:tr>
      <w:tr w:rsidR="00370A52" w:rsidRPr="00667AE7" w14:paraId="79FDE532" w14:textId="77777777" w:rsidTr="00667AE7">
        <w:trPr>
          <w:trHeight w:val="1770"/>
        </w:trPr>
        <w:tc>
          <w:tcPr>
            <w:tcW w:w="557" w:type="dxa"/>
            <w:vMerge/>
            <w:tcBorders>
              <w:top w:val="nil"/>
              <w:left w:val="single" w:sz="4" w:space="0" w:color="auto"/>
              <w:bottom w:val="single" w:sz="4" w:space="0" w:color="auto"/>
              <w:right w:val="single" w:sz="4" w:space="0" w:color="auto"/>
            </w:tcBorders>
            <w:vAlign w:val="center"/>
            <w:hideMark/>
          </w:tcPr>
          <w:p w14:paraId="2207F697" w14:textId="77777777" w:rsidR="00370A52" w:rsidRPr="00667AE7" w:rsidRDefault="00370A52" w:rsidP="00667AE7">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268BB3AF"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Asignación de responsables sectoriales a regiones con afinidades (personales, familiares, regionales, entre otras)</w:t>
            </w:r>
          </w:p>
        </w:tc>
        <w:tc>
          <w:tcPr>
            <w:tcW w:w="2586" w:type="dxa"/>
            <w:vMerge/>
            <w:tcBorders>
              <w:top w:val="nil"/>
              <w:left w:val="single" w:sz="4" w:space="0" w:color="auto"/>
              <w:bottom w:val="single" w:sz="4" w:space="0" w:color="auto"/>
              <w:right w:val="single" w:sz="4" w:space="0" w:color="auto"/>
            </w:tcBorders>
            <w:vAlign w:val="center"/>
            <w:hideMark/>
          </w:tcPr>
          <w:p w14:paraId="5878F639"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1764" w:type="dxa"/>
            <w:vMerge/>
            <w:tcBorders>
              <w:top w:val="nil"/>
              <w:left w:val="single" w:sz="4" w:space="0" w:color="auto"/>
              <w:bottom w:val="single" w:sz="4" w:space="0" w:color="000000"/>
              <w:right w:val="single" w:sz="4" w:space="0" w:color="auto"/>
            </w:tcBorders>
            <w:vAlign w:val="center"/>
            <w:hideMark/>
          </w:tcPr>
          <w:p w14:paraId="338AC4A5"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2094" w:type="dxa"/>
            <w:vMerge/>
            <w:tcBorders>
              <w:top w:val="nil"/>
              <w:left w:val="single" w:sz="4" w:space="0" w:color="auto"/>
              <w:bottom w:val="single" w:sz="4" w:space="0" w:color="000000"/>
              <w:right w:val="single" w:sz="4" w:space="0" w:color="auto"/>
            </w:tcBorders>
            <w:vAlign w:val="center"/>
            <w:hideMark/>
          </w:tcPr>
          <w:p w14:paraId="6DA6C2E8"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3440" w:type="dxa"/>
            <w:vMerge/>
            <w:tcBorders>
              <w:top w:val="nil"/>
              <w:left w:val="single" w:sz="4" w:space="0" w:color="auto"/>
              <w:bottom w:val="single" w:sz="4" w:space="0" w:color="000000"/>
              <w:right w:val="single" w:sz="4" w:space="0" w:color="auto"/>
            </w:tcBorders>
            <w:vAlign w:val="center"/>
            <w:hideMark/>
          </w:tcPr>
          <w:p w14:paraId="31903DBC"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2514" w:type="dxa"/>
            <w:vMerge/>
            <w:tcBorders>
              <w:top w:val="nil"/>
              <w:left w:val="single" w:sz="4" w:space="0" w:color="auto"/>
              <w:bottom w:val="single" w:sz="4" w:space="0" w:color="000000"/>
              <w:right w:val="single" w:sz="4" w:space="0" w:color="auto"/>
            </w:tcBorders>
            <w:vAlign w:val="center"/>
            <w:hideMark/>
          </w:tcPr>
          <w:p w14:paraId="059D2E17"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r>
      <w:tr w:rsidR="00370A52" w:rsidRPr="00667AE7" w14:paraId="6354FFC3" w14:textId="77777777" w:rsidTr="00667AE7">
        <w:trPr>
          <w:trHeight w:val="2985"/>
        </w:trPr>
        <w:tc>
          <w:tcPr>
            <w:tcW w:w="5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4E9BE3" w14:textId="77777777" w:rsidR="00370A52" w:rsidRPr="00667AE7" w:rsidRDefault="00370A52" w:rsidP="00667AE7">
            <w:pPr>
              <w:spacing w:after="0" w:line="240" w:lineRule="auto"/>
              <w:jc w:val="center"/>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lastRenderedPageBreak/>
              <w:t>5</w:t>
            </w:r>
          </w:p>
        </w:tc>
        <w:tc>
          <w:tcPr>
            <w:tcW w:w="2639" w:type="dxa"/>
            <w:tcBorders>
              <w:top w:val="nil"/>
              <w:left w:val="nil"/>
              <w:bottom w:val="single" w:sz="4" w:space="0" w:color="auto"/>
              <w:right w:val="single" w:sz="4" w:space="0" w:color="auto"/>
            </w:tcBorders>
            <w:shd w:val="clear" w:color="000000" w:fill="FFFFFF"/>
            <w:vAlign w:val="center"/>
            <w:hideMark/>
          </w:tcPr>
          <w:p w14:paraId="0EBF1C86"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Manipulación de información</w:t>
            </w: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B5F7FA"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R39 Proyectos de Ley o de Acto Legislativo o proyectos de concepto ajustados a intereses particulares</w:t>
            </w:r>
          </w:p>
        </w:tc>
        <w:tc>
          <w:tcPr>
            <w:tcW w:w="1764" w:type="dxa"/>
            <w:tcBorders>
              <w:top w:val="nil"/>
              <w:left w:val="nil"/>
              <w:bottom w:val="single" w:sz="4" w:space="0" w:color="auto"/>
              <w:right w:val="single" w:sz="4" w:space="0" w:color="auto"/>
            </w:tcBorders>
            <w:shd w:val="clear" w:color="000000" w:fill="FFFFFF"/>
            <w:vAlign w:val="center"/>
            <w:hideMark/>
          </w:tcPr>
          <w:p w14:paraId="63F70D9B"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Administrar adecuada y permanentemente el SISCOP </w:t>
            </w:r>
          </w:p>
        </w:tc>
        <w:tc>
          <w:tcPr>
            <w:tcW w:w="2094" w:type="dxa"/>
            <w:tcBorders>
              <w:top w:val="nil"/>
              <w:left w:val="nil"/>
              <w:bottom w:val="single" w:sz="4" w:space="0" w:color="auto"/>
              <w:right w:val="single" w:sz="4" w:space="0" w:color="auto"/>
            </w:tcBorders>
            <w:shd w:val="clear" w:color="000000" w:fill="FFFFFF"/>
            <w:vAlign w:val="center"/>
            <w:hideMark/>
          </w:tcPr>
          <w:p w14:paraId="17D1E0B5" w14:textId="77777777" w:rsidR="00370A52"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 identificó que el control requiere fortalecer su propósito, en razón a que en la ficha técnica </w:t>
            </w:r>
            <w:r>
              <w:rPr>
                <w:rFonts w:ascii="Arial" w:eastAsia="Times New Roman" w:hAnsi="Arial" w:cs="Arial"/>
                <w:color w:val="000000"/>
                <w:sz w:val="20"/>
                <w:szCs w:val="20"/>
                <w:lang w:eastAsia="es-CO"/>
              </w:rPr>
              <w:t xml:space="preserve">se </w:t>
            </w:r>
            <w:r w:rsidRPr="00667AE7">
              <w:rPr>
                <w:rFonts w:ascii="Arial" w:eastAsia="Times New Roman" w:hAnsi="Arial" w:cs="Arial"/>
                <w:color w:val="000000"/>
                <w:sz w:val="20"/>
                <w:szCs w:val="20"/>
                <w:lang w:eastAsia="es-CO"/>
              </w:rPr>
              <w:t xml:space="preserve">establece </w:t>
            </w:r>
            <w:r>
              <w:rPr>
                <w:rFonts w:ascii="Arial" w:eastAsia="Times New Roman" w:hAnsi="Arial" w:cs="Arial"/>
                <w:color w:val="000000"/>
                <w:sz w:val="20"/>
                <w:szCs w:val="20"/>
                <w:lang w:eastAsia="es-CO"/>
              </w:rPr>
              <w:t xml:space="preserve">que </w:t>
            </w:r>
            <w:r w:rsidRPr="00667AE7">
              <w:rPr>
                <w:rFonts w:ascii="Arial" w:eastAsia="Times New Roman" w:hAnsi="Arial" w:cs="Arial"/>
                <w:color w:val="000000"/>
                <w:sz w:val="20"/>
                <w:szCs w:val="20"/>
                <w:lang w:eastAsia="es-CO"/>
              </w:rPr>
              <w:t xml:space="preserve">es: </w:t>
            </w:r>
            <w:r w:rsidRPr="00667AE7">
              <w:rPr>
                <w:rFonts w:ascii="Arial" w:eastAsia="Times New Roman" w:hAnsi="Arial" w:cs="Arial"/>
                <w:i/>
                <w:iCs/>
                <w:color w:val="000000"/>
                <w:sz w:val="20"/>
                <w:szCs w:val="20"/>
                <w:lang w:eastAsia="es-CO"/>
              </w:rPr>
              <w:t xml:space="preserve">"La administración adecuada del SISCOP asegura la objetividad del cumplimiento del proceso de seguimiento a iniciativas legislativas". </w:t>
            </w:r>
            <w:r w:rsidRPr="00667AE7">
              <w:rPr>
                <w:rFonts w:ascii="Arial" w:eastAsia="Times New Roman" w:hAnsi="Arial" w:cs="Arial"/>
                <w:color w:val="000000"/>
                <w:sz w:val="20"/>
                <w:szCs w:val="20"/>
                <w:lang w:eastAsia="es-CO"/>
              </w:rPr>
              <w:t xml:space="preserve"> </w:t>
            </w:r>
          </w:p>
          <w:p w14:paraId="69A63AB8"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tcBorders>
              <w:top w:val="nil"/>
              <w:left w:val="nil"/>
              <w:bottom w:val="single" w:sz="4" w:space="0" w:color="auto"/>
              <w:right w:val="single" w:sz="4" w:space="0" w:color="auto"/>
            </w:tcBorders>
            <w:shd w:val="clear" w:color="000000" w:fill="FFFFFF"/>
            <w:vAlign w:val="center"/>
            <w:hideMark/>
          </w:tcPr>
          <w:p w14:paraId="2927A32D" w14:textId="77777777" w:rsidR="00370A52"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Según lo reportado por el </w:t>
            </w:r>
            <w:r>
              <w:rPr>
                <w:rFonts w:ascii="Arial" w:eastAsia="Times New Roman" w:hAnsi="Arial" w:cs="Arial"/>
                <w:color w:val="000000"/>
                <w:sz w:val="20"/>
                <w:szCs w:val="20"/>
                <w:lang w:eastAsia="es-CO"/>
              </w:rPr>
              <w:t>proceso</w:t>
            </w:r>
            <w:r w:rsidRPr="00667AE7">
              <w:rPr>
                <w:rFonts w:ascii="Arial" w:eastAsia="Times New Roman" w:hAnsi="Arial" w:cs="Arial"/>
                <w:color w:val="000000"/>
                <w:sz w:val="20"/>
                <w:szCs w:val="20"/>
                <w:lang w:eastAsia="es-CO"/>
              </w:rPr>
              <w:t xml:space="preserve"> en el SMGI, el técnico del SISCOP administró durante el periodo evaluado adecuadamente el sistema.</w:t>
            </w:r>
          </w:p>
          <w:p w14:paraId="70ABB243"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 Se evidenció pantallazo de seguimiento a la gestión de expedientes </w:t>
            </w:r>
            <w:r w:rsidRPr="0024584A">
              <w:rPr>
                <w:rFonts w:ascii="Arial" w:eastAsia="Times New Roman" w:hAnsi="Arial" w:cs="Arial"/>
                <w:color w:val="000000"/>
                <w:sz w:val="20"/>
                <w:szCs w:val="20"/>
                <w:lang w:eastAsia="es-CO"/>
              </w:rPr>
              <w:t>relacionados con el tema</w:t>
            </w:r>
            <w:r w:rsidRPr="00667AE7">
              <w:rPr>
                <w:rFonts w:ascii="Arial" w:eastAsia="Times New Roman" w:hAnsi="Arial" w:cs="Arial"/>
                <w:color w:val="000000"/>
                <w:sz w:val="20"/>
                <w:szCs w:val="20"/>
                <w:lang w:eastAsia="es-CO"/>
              </w:rPr>
              <w:t xml:space="preserve"> en SIED. </w:t>
            </w:r>
          </w:p>
        </w:tc>
        <w:tc>
          <w:tcPr>
            <w:tcW w:w="2514" w:type="dxa"/>
            <w:tcBorders>
              <w:top w:val="nil"/>
              <w:left w:val="nil"/>
              <w:bottom w:val="single" w:sz="4" w:space="0" w:color="auto"/>
              <w:right w:val="single" w:sz="4" w:space="0" w:color="auto"/>
            </w:tcBorders>
            <w:shd w:val="clear" w:color="000000" w:fill="FFFFFF"/>
            <w:vAlign w:val="center"/>
            <w:hideMark/>
          </w:tcPr>
          <w:p w14:paraId="05E2A808"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 evidenció en la ficha técnica del control que la evidencia de su ejecución es  </w:t>
            </w:r>
            <w:r w:rsidRPr="00667AE7">
              <w:rPr>
                <w:rFonts w:ascii="Arial" w:eastAsia="Times New Roman" w:hAnsi="Arial" w:cs="Arial"/>
                <w:i/>
                <w:iCs/>
                <w:color w:val="000000"/>
                <w:sz w:val="20"/>
                <w:szCs w:val="20"/>
                <w:lang w:eastAsia="es-CO"/>
              </w:rPr>
              <w:t>"SISCOP</w:t>
            </w:r>
            <w:r w:rsidRPr="00667AE7">
              <w:rPr>
                <w:rFonts w:ascii="Arial" w:eastAsia="Times New Roman" w:hAnsi="Arial" w:cs="Arial"/>
                <w:color w:val="000000"/>
                <w:sz w:val="20"/>
                <w:szCs w:val="20"/>
                <w:lang w:eastAsia="es-CO"/>
              </w:rPr>
              <w:t xml:space="preserve">", por lo que se </w:t>
            </w:r>
            <w:r w:rsidRPr="00667AE7">
              <w:rPr>
                <w:rFonts w:ascii="Arial" w:eastAsia="Times New Roman" w:hAnsi="Arial" w:cs="Arial"/>
                <w:b/>
                <w:bCs/>
                <w:color w:val="000000"/>
                <w:sz w:val="20"/>
                <w:szCs w:val="20"/>
                <w:lang w:eastAsia="es-CO"/>
              </w:rPr>
              <w:t>recomienda</w:t>
            </w:r>
            <w:r w:rsidRPr="00667AE7">
              <w:rPr>
                <w:rFonts w:ascii="Arial" w:eastAsia="Times New Roman" w:hAnsi="Arial" w:cs="Arial"/>
                <w:color w:val="000000"/>
                <w:sz w:val="20"/>
                <w:szCs w:val="20"/>
                <w:lang w:eastAsia="es-CO"/>
              </w:rPr>
              <w:t xml:space="preserve"> fortalecer la descripción de los soportes que </w:t>
            </w:r>
            <w:r>
              <w:rPr>
                <w:rFonts w:ascii="Arial" w:eastAsia="Times New Roman" w:hAnsi="Arial" w:cs="Arial"/>
                <w:color w:val="000000"/>
                <w:sz w:val="20"/>
                <w:szCs w:val="20"/>
                <w:lang w:eastAsia="es-CO"/>
              </w:rPr>
              <w:t>dan</w:t>
            </w:r>
            <w:r w:rsidRPr="00667AE7">
              <w:rPr>
                <w:rFonts w:ascii="Arial" w:eastAsia="Times New Roman" w:hAnsi="Arial" w:cs="Arial"/>
                <w:color w:val="000000"/>
                <w:sz w:val="20"/>
                <w:szCs w:val="20"/>
                <w:lang w:eastAsia="es-CO"/>
              </w:rPr>
              <w:t xml:space="preserve"> cuenta de la aplicación de este. De igual manera, estudiar la pertinencia</w:t>
            </w:r>
            <w:r>
              <w:rPr>
                <w:rFonts w:ascii="Arial" w:eastAsia="Times New Roman" w:hAnsi="Arial" w:cs="Arial"/>
                <w:color w:val="000000"/>
                <w:sz w:val="20"/>
                <w:szCs w:val="20"/>
                <w:lang w:eastAsia="es-CO"/>
              </w:rPr>
              <w:t xml:space="preserve"> de la frecuencia “</w:t>
            </w:r>
            <w:r w:rsidRPr="00667AE7">
              <w:rPr>
                <w:rFonts w:ascii="Arial" w:eastAsia="Times New Roman" w:hAnsi="Arial" w:cs="Arial"/>
                <w:i/>
                <w:iCs/>
                <w:color w:val="000000"/>
                <w:sz w:val="20"/>
                <w:szCs w:val="20"/>
                <w:lang w:eastAsia="es-CO"/>
              </w:rPr>
              <w:t>Diaria”</w:t>
            </w:r>
            <w:r>
              <w:rPr>
                <w:rFonts w:ascii="Arial" w:eastAsia="Times New Roman" w:hAnsi="Arial" w:cs="Arial"/>
                <w:color w:val="000000"/>
                <w:sz w:val="20"/>
                <w:szCs w:val="20"/>
                <w:lang w:eastAsia="es-CO"/>
              </w:rPr>
              <w:t xml:space="preserve"> de ejecución del control </w:t>
            </w:r>
            <w:r w:rsidRPr="00667AE7">
              <w:rPr>
                <w:rFonts w:ascii="Arial" w:eastAsia="Times New Roman" w:hAnsi="Arial" w:cs="Arial"/>
                <w:color w:val="000000"/>
                <w:sz w:val="20"/>
                <w:szCs w:val="20"/>
                <w:lang w:eastAsia="es-CO"/>
              </w:rPr>
              <w:t xml:space="preserve">y verificar </w:t>
            </w:r>
            <w:r>
              <w:rPr>
                <w:rFonts w:ascii="Arial" w:eastAsia="Times New Roman" w:hAnsi="Arial" w:cs="Arial"/>
                <w:color w:val="000000"/>
                <w:sz w:val="20"/>
                <w:szCs w:val="20"/>
                <w:lang w:eastAsia="es-CO"/>
              </w:rPr>
              <w:t xml:space="preserve">si </w:t>
            </w:r>
            <w:r w:rsidRPr="00667AE7">
              <w:rPr>
                <w:rFonts w:ascii="Arial" w:eastAsia="Times New Roman" w:hAnsi="Arial" w:cs="Arial"/>
                <w:color w:val="000000"/>
                <w:sz w:val="20"/>
                <w:szCs w:val="20"/>
                <w:lang w:eastAsia="es-CO"/>
              </w:rPr>
              <w:t xml:space="preserve">se </w:t>
            </w:r>
            <w:r>
              <w:rPr>
                <w:rFonts w:ascii="Arial" w:eastAsia="Times New Roman" w:hAnsi="Arial" w:cs="Arial"/>
                <w:color w:val="000000"/>
                <w:sz w:val="20"/>
                <w:szCs w:val="20"/>
                <w:lang w:eastAsia="es-CO"/>
              </w:rPr>
              <w:t xml:space="preserve">aplica en el tiempo </w:t>
            </w:r>
            <w:r w:rsidRPr="00667AE7">
              <w:rPr>
                <w:rFonts w:ascii="Arial" w:eastAsia="Times New Roman" w:hAnsi="Arial" w:cs="Arial"/>
                <w:color w:val="000000"/>
                <w:sz w:val="20"/>
                <w:szCs w:val="20"/>
                <w:lang w:eastAsia="es-CO"/>
              </w:rPr>
              <w:t>tal como está definido en la ficha técnica</w:t>
            </w:r>
            <w:r w:rsidR="000F7D26">
              <w:rPr>
                <w:rFonts w:ascii="Arial" w:eastAsia="Times New Roman" w:hAnsi="Arial" w:cs="Arial"/>
                <w:color w:val="000000"/>
                <w:sz w:val="20"/>
                <w:szCs w:val="20"/>
                <w:lang w:eastAsia="es-CO"/>
              </w:rPr>
              <w:t>.</w:t>
            </w:r>
          </w:p>
        </w:tc>
      </w:tr>
      <w:tr w:rsidR="00370A52" w:rsidRPr="00667AE7" w14:paraId="750838D2" w14:textId="77777777" w:rsidTr="00667AE7">
        <w:trPr>
          <w:trHeight w:val="60"/>
        </w:trPr>
        <w:tc>
          <w:tcPr>
            <w:tcW w:w="557" w:type="dxa"/>
            <w:vMerge/>
            <w:tcBorders>
              <w:top w:val="nil"/>
              <w:left w:val="single" w:sz="4" w:space="0" w:color="auto"/>
              <w:bottom w:val="single" w:sz="4" w:space="0" w:color="auto"/>
              <w:right w:val="single" w:sz="4" w:space="0" w:color="auto"/>
            </w:tcBorders>
            <w:vAlign w:val="center"/>
            <w:hideMark/>
          </w:tcPr>
          <w:p w14:paraId="4EE4D945" w14:textId="77777777" w:rsidR="00370A52" w:rsidRPr="00667AE7" w:rsidRDefault="00370A52" w:rsidP="00667AE7">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3C700874"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Tráfico de influencias</w:t>
            </w:r>
          </w:p>
        </w:tc>
        <w:tc>
          <w:tcPr>
            <w:tcW w:w="2586" w:type="dxa"/>
            <w:vMerge/>
            <w:tcBorders>
              <w:top w:val="nil"/>
              <w:left w:val="single" w:sz="4" w:space="0" w:color="auto"/>
              <w:bottom w:val="single" w:sz="4" w:space="0" w:color="auto"/>
              <w:right w:val="single" w:sz="4" w:space="0" w:color="auto"/>
            </w:tcBorders>
            <w:vAlign w:val="center"/>
            <w:hideMark/>
          </w:tcPr>
          <w:p w14:paraId="3101228F"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1764" w:type="dxa"/>
            <w:tcBorders>
              <w:top w:val="nil"/>
              <w:left w:val="nil"/>
              <w:bottom w:val="single" w:sz="4" w:space="0" w:color="auto"/>
              <w:right w:val="single" w:sz="4" w:space="0" w:color="auto"/>
            </w:tcBorders>
            <w:shd w:val="clear" w:color="000000" w:fill="FFFFFF"/>
            <w:vAlign w:val="center"/>
            <w:hideMark/>
          </w:tcPr>
          <w:p w14:paraId="13978851"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Revisiones técnicas frente a los documentos relacionados con la  elaboración de iniciativas legislativas del MHCP y las cartas de intervención sobre iniciativas legislativas que cursen su trámite en el Congreso de la República</w:t>
            </w:r>
          </w:p>
        </w:tc>
        <w:tc>
          <w:tcPr>
            <w:tcW w:w="2094" w:type="dxa"/>
            <w:tcBorders>
              <w:top w:val="nil"/>
              <w:left w:val="nil"/>
              <w:bottom w:val="single" w:sz="4" w:space="0" w:color="auto"/>
              <w:right w:val="single" w:sz="4" w:space="0" w:color="auto"/>
            </w:tcBorders>
            <w:shd w:val="clear" w:color="000000" w:fill="FFFFFF"/>
            <w:vAlign w:val="center"/>
            <w:hideMark/>
          </w:tcPr>
          <w:p w14:paraId="37554007" w14:textId="77777777" w:rsidR="00370A52"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Se identificó que el control requiere fortalecer su propósito, en razón a que en la ficha técnica</w:t>
            </w:r>
            <w:r>
              <w:rPr>
                <w:rFonts w:ascii="Arial" w:eastAsia="Times New Roman" w:hAnsi="Arial" w:cs="Arial"/>
                <w:color w:val="000000"/>
                <w:sz w:val="20"/>
                <w:szCs w:val="20"/>
                <w:lang w:eastAsia="es-CO"/>
              </w:rPr>
              <w:t xml:space="preserve"> se</w:t>
            </w:r>
            <w:r w:rsidRPr="00667AE7">
              <w:rPr>
                <w:rFonts w:ascii="Arial" w:eastAsia="Times New Roman" w:hAnsi="Arial" w:cs="Arial"/>
                <w:color w:val="000000"/>
                <w:sz w:val="20"/>
                <w:szCs w:val="20"/>
                <w:lang w:eastAsia="es-CO"/>
              </w:rPr>
              <w:t xml:space="preserve"> establece </w:t>
            </w:r>
            <w:r>
              <w:rPr>
                <w:rFonts w:ascii="Arial" w:eastAsia="Times New Roman" w:hAnsi="Arial" w:cs="Arial"/>
                <w:color w:val="000000"/>
                <w:sz w:val="20"/>
                <w:szCs w:val="20"/>
                <w:lang w:eastAsia="es-CO"/>
              </w:rPr>
              <w:t xml:space="preserve">que </w:t>
            </w:r>
            <w:r w:rsidRPr="00667AE7">
              <w:rPr>
                <w:rFonts w:ascii="Arial" w:eastAsia="Times New Roman" w:hAnsi="Arial" w:cs="Arial"/>
                <w:color w:val="000000"/>
                <w:sz w:val="20"/>
                <w:szCs w:val="20"/>
                <w:lang w:eastAsia="es-CO"/>
              </w:rPr>
              <w:t>es:</w:t>
            </w:r>
            <w:r w:rsidRPr="00667AE7">
              <w:rPr>
                <w:rFonts w:ascii="Arial" w:eastAsia="Times New Roman" w:hAnsi="Arial" w:cs="Arial"/>
                <w:i/>
                <w:iCs/>
                <w:color w:val="000000"/>
                <w:sz w:val="20"/>
                <w:szCs w:val="20"/>
                <w:lang w:eastAsia="es-CO"/>
              </w:rPr>
              <w:t xml:space="preserve"> Las revisiones técnicas realizadas por el Jefe de la OAJ y el asesor encargado del proceso de seguimiento aseguran la objetividad e imparcialidad en la elaboración de iniciativas legislativas del MHCP y las cartas de intervención sobre iniciativas legislativas que cursen su trámite </w:t>
            </w:r>
            <w:r w:rsidRPr="00667AE7">
              <w:rPr>
                <w:rFonts w:ascii="Arial" w:eastAsia="Times New Roman" w:hAnsi="Arial" w:cs="Arial"/>
                <w:i/>
                <w:iCs/>
                <w:color w:val="000000"/>
                <w:sz w:val="20"/>
                <w:szCs w:val="20"/>
                <w:lang w:eastAsia="es-CO"/>
              </w:rPr>
              <w:lastRenderedPageBreak/>
              <w:t>en el Congreso de la Repúblic</w:t>
            </w:r>
            <w:r>
              <w:rPr>
                <w:rFonts w:ascii="Arial" w:eastAsia="Times New Roman" w:hAnsi="Arial" w:cs="Arial"/>
                <w:i/>
                <w:iCs/>
                <w:color w:val="000000"/>
                <w:sz w:val="20"/>
                <w:szCs w:val="20"/>
                <w:lang w:eastAsia="es-CO"/>
              </w:rPr>
              <w:t xml:space="preserve">a. </w:t>
            </w:r>
          </w:p>
          <w:p w14:paraId="5C8613A6"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3440" w:type="dxa"/>
            <w:tcBorders>
              <w:top w:val="nil"/>
              <w:left w:val="nil"/>
              <w:bottom w:val="single" w:sz="4" w:space="0" w:color="auto"/>
              <w:right w:val="single" w:sz="4" w:space="0" w:color="auto"/>
            </w:tcBorders>
            <w:shd w:val="clear" w:color="000000" w:fill="FFFFFF"/>
            <w:vAlign w:val="center"/>
            <w:hideMark/>
          </w:tcPr>
          <w:p w14:paraId="1EACAF9B"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lastRenderedPageBreak/>
              <w:t>De acuerdo con lo manifestado por</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 xml:space="preserve">el </w:t>
            </w:r>
            <w:r>
              <w:rPr>
                <w:rFonts w:ascii="Arial" w:eastAsia="Times New Roman" w:hAnsi="Arial" w:cs="Arial"/>
                <w:color w:val="000000"/>
                <w:sz w:val="20"/>
                <w:szCs w:val="20"/>
                <w:lang w:eastAsia="es-CO"/>
              </w:rPr>
              <w:t xml:space="preserve">proceso </w:t>
            </w:r>
            <w:r w:rsidRPr="00667AE7">
              <w:rPr>
                <w:rFonts w:ascii="Arial" w:eastAsia="Times New Roman" w:hAnsi="Arial" w:cs="Arial"/>
                <w:color w:val="000000"/>
                <w:sz w:val="20"/>
                <w:szCs w:val="20"/>
                <w:lang w:eastAsia="es-CO"/>
              </w:rPr>
              <w:t>en el SMGI, el asesor encargado realizó en el periodo evaluado las revisiones a la documentación adecuada y oportunamente. Se observó pantallazo de un correo electrónico</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 xml:space="preserve">donde se remiten comentarios de la revisión. </w:t>
            </w:r>
          </w:p>
        </w:tc>
        <w:tc>
          <w:tcPr>
            <w:tcW w:w="2514" w:type="dxa"/>
            <w:tcBorders>
              <w:top w:val="nil"/>
              <w:left w:val="nil"/>
              <w:bottom w:val="single" w:sz="4" w:space="0" w:color="auto"/>
              <w:right w:val="single" w:sz="4" w:space="0" w:color="auto"/>
            </w:tcBorders>
            <w:shd w:val="clear" w:color="000000" w:fill="FFFFFF"/>
            <w:vAlign w:val="center"/>
            <w:hideMark/>
          </w:tcPr>
          <w:p w14:paraId="61D9A127"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Se observó en la ficha técnica del control que s</w:t>
            </w:r>
            <w:r>
              <w:rPr>
                <w:rFonts w:ascii="Arial" w:eastAsia="Times New Roman" w:hAnsi="Arial" w:cs="Arial"/>
                <w:color w:val="000000"/>
                <w:sz w:val="20"/>
                <w:szCs w:val="20"/>
                <w:lang w:eastAsia="es-CO"/>
              </w:rPr>
              <w:t>u</w:t>
            </w:r>
            <w:r w:rsidRPr="00667AE7">
              <w:rPr>
                <w:rFonts w:ascii="Arial" w:eastAsia="Times New Roman" w:hAnsi="Arial" w:cs="Arial"/>
                <w:color w:val="000000"/>
                <w:sz w:val="20"/>
                <w:szCs w:val="20"/>
                <w:lang w:eastAsia="es-CO"/>
              </w:rPr>
              <w:t xml:space="preserve"> frecuencia de medición es </w:t>
            </w:r>
            <w:r w:rsidRPr="00667AE7">
              <w:rPr>
                <w:rFonts w:ascii="Arial" w:eastAsia="Times New Roman" w:hAnsi="Arial" w:cs="Arial"/>
                <w:i/>
                <w:iCs/>
                <w:color w:val="000000"/>
                <w:sz w:val="20"/>
                <w:szCs w:val="20"/>
                <w:lang w:eastAsia="es-CO"/>
              </w:rPr>
              <w:t xml:space="preserve">"Diaria" </w:t>
            </w:r>
            <w:r w:rsidRPr="00667AE7">
              <w:rPr>
                <w:rFonts w:ascii="Arial" w:eastAsia="Times New Roman" w:hAnsi="Arial" w:cs="Arial"/>
                <w:color w:val="000000"/>
                <w:sz w:val="20"/>
                <w:szCs w:val="20"/>
                <w:lang w:eastAsia="es-CO"/>
              </w:rPr>
              <w:t xml:space="preserve">por lo que se </w:t>
            </w:r>
            <w:r w:rsidRPr="00667AE7">
              <w:rPr>
                <w:rFonts w:ascii="Arial" w:eastAsia="Times New Roman" w:hAnsi="Arial" w:cs="Arial"/>
                <w:b/>
                <w:bCs/>
                <w:color w:val="000000"/>
                <w:sz w:val="20"/>
                <w:szCs w:val="20"/>
                <w:lang w:eastAsia="es-CO"/>
              </w:rPr>
              <w:t>recomienda</w:t>
            </w:r>
            <w:r w:rsidRPr="00667AE7">
              <w:rPr>
                <w:rFonts w:ascii="Arial" w:eastAsia="Times New Roman" w:hAnsi="Arial" w:cs="Arial"/>
                <w:color w:val="000000"/>
                <w:sz w:val="20"/>
                <w:szCs w:val="20"/>
                <w:lang w:eastAsia="es-CO"/>
              </w:rPr>
              <w:t xml:space="preserve"> estudiar la pertinencia</w:t>
            </w:r>
            <w:r>
              <w:rPr>
                <w:rFonts w:ascii="Arial" w:eastAsia="Times New Roman" w:hAnsi="Arial" w:cs="Arial"/>
                <w:color w:val="000000"/>
                <w:sz w:val="20"/>
                <w:szCs w:val="20"/>
                <w:lang w:eastAsia="es-CO"/>
              </w:rPr>
              <w:t xml:space="preserve"> de dicha frecuencia</w:t>
            </w:r>
            <w:r w:rsidRPr="00667AE7">
              <w:rPr>
                <w:rFonts w:ascii="Arial" w:eastAsia="Times New Roman" w:hAnsi="Arial" w:cs="Arial"/>
                <w:color w:val="000000"/>
                <w:sz w:val="20"/>
                <w:szCs w:val="20"/>
                <w:lang w:eastAsia="es-CO"/>
              </w:rPr>
              <w:t xml:space="preserve"> y verificar si el control se </w:t>
            </w:r>
            <w:r>
              <w:rPr>
                <w:rFonts w:ascii="Arial" w:eastAsia="Times New Roman" w:hAnsi="Arial" w:cs="Arial"/>
                <w:color w:val="000000"/>
                <w:sz w:val="20"/>
                <w:szCs w:val="20"/>
                <w:lang w:eastAsia="es-CO"/>
              </w:rPr>
              <w:t xml:space="preserve">ejecuta en el tiempo </w:t>
            </w:r>
            <w:r w:rsidRPr="00667AE7">
              <w:rPr>
                <w:rFonts w:ascii="Arial" w:eastAsia="Times New Roman" w:hAnsi="Arial" w:cs="Arial"/>
                <w:color w:val="000000"/>
                <w:sz w:val="20"/>
                <w:szCs w:val="20"/>
                <w:lang w:eastAsia="es-CO"/>
              </w:rPr>
              <w:t>tal como está definido en la ficha técnica.</w:t>
            </w:r>
          </w:p>
        </w:tc>
      </w:tr>
      <w:tr w:rsidR="00370A52" w:rsidRPr="00667AE7" w14:paraId="782A5C59" w14:textId="77777777" w:rsidTr="00667AE7">
        <w:trPr>
          <w:trHeight w:val="1049"/>
        </w:trPr>
        <w:tc>
          <w:tcPr>
            <w:tcW w:w="5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78C075" w14:textId="77777777" w:rsidR="00370A52" w:rsidRPr="00667AE7" w:rsidRDefault="00370A52" w:rsidP="00667AE7">
            <w:pPr>
              <w:spacing w:after="0" w:line="240" w:lineRule="auto"/>
              <w:jc w:val="center"/>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6</w:t>
            </w:r>
          </w:p>
        </w:tc>
        <w:tc>
          <w:tcPr>
            <w:tcW w:w="2639" w:type="dxa"/>
            <w:tcBorders>
              <w:top w:val="nil"/>
              <w:left w:val="nil"/>
              <w:bottom w:val="single" w:sz="4" w:space="0" w:color="auto"/>
              <w:right w:val="single" w:sz="4" w:space="0" w:color="auto"/>
            </w:tcBorders>
            <w:shd w:val="clear" w:color="000000" w:fill="FFFFFF"/>
            <w:vAlign w:val="center"/>
            <w:hideMark/>
          </w:tcPr>
          <w:p w14:paraId="4E7C1F32"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Recibir novedades que no cumplen con los requisitos establecidos.</w:t>
            </w: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C5A113"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R4 Manipular la liquidación de la nómina con el fin de beneficiar a terceros</w:t>
            </w:r>
          </w:p>
        </w:tc>
        <w:tc>
          <w:tcPr>
            <w:tcW w:w="17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C11C8F"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Revisión de novedades por parte de los responsables de Nómina </w:t>
            </w:r>
          </w:p>
        </w:tc>
        <w:tc>
          <w:tcPr>
            <w:tcW w:w="20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717ECE"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 identificó que el control requiere fortalecer su propósito, en razón a que en la ficha técnica se establece </w:t>
            </w:r>
            <w:r>
              <w:rPr>
                <w:rFonts w:ascii="Arial" w:eastAsia="Times New Roman" w:hAnsi="Arial" w:cs="Arial"/>
                <w:color w:val="000000"/>
                <w:sz w:val="20"/>
                <w:szCs w:val="20"/>
                <w:lang w:eastAsia="es-CO"/>
              </w:rPr>
              <w:t xml:space="preserve">que </w:t>
            </w:r>
            <w:r w:rsidRPr="00667AE7">
              <w:rPr>
                <w:rFonts w:ascii="Arial" w:eastAsia="Times New Roman" w:hAnsi="Arial" w:cs="Arial"/>
                <w:color w:val="000000"/>
                <w:sz w:val="20"/>
                <w:szCs w:val="20"/>
                <w:lang w:eastAsia="es-CO"/>
              </w:rPr>
              <w:t>es</w:t>
            </w:r>
            <w:r>
              <w:rPr>
                <w:rFonts w:ascii="Arial" w:eastAsia="Times New Roman" w:hAnsi="Arial" w:cs="Arial"/>
                <w:color w:val="000000"/>
                <w:sz w:val="20"/>
                <w:szCs w:val="20"/>
                <w:lang w:eastAsia="es-CO"/>
              </w:rPr>
              <w:t xml:space="preserve">: </w:t>
            </w:r>
            <w:r w:rsidRPr="00667AE7">
              <w:rPr>
                <w:rFonts w:ascii="Arial" w:eastAsia="Times New Roman" w:hAnsi="Arial" w:cs="Arial"/>
                <w:i/>
                <w:iCs/>
                <w:color w:val="000000"/>
                <w:sz w:val="20"/>
                <w:szCs w:val="20"/>
                <w:lang w:eastAsia="es-CO"/>
              </w:rPr>
              <w:t xml:space="preserve">"Mediante las revisiones de los funcionarios encargados del proceso de nómina se evita que se beneficien a terceros por pagos indebidos. </w:t>
            </w:r>
          </w:p>
        </w:tc>
        <w:tc>
          <w:tcPr>
            <w:tcW w:w="34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1A6B0B"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Según lo reportado por el </w:t>
            </w:r>
            <w:r>
              <w:rPr>
                <w:rFonts w:ascii="Arial" w:eastAsia="Times New Roman" w:hAnsi="Arial" w:cs="Arial"/>
                <w:color w:val="000000"/>
                <w:sz w:val="20"/>
                <w:szCs w:val="20"/>
                <w:lang w:eastAsia="es-CO"/>
              </w:rPr>
              <w:t>proceso,</w:t>
            </w:r>
            <w:r w:rsidRPr="00667AE7">
              <w:rPr>
                <w:rFonts w:ascii="Arial" w:eastAsia="Times New Roman" w:hAnsi="Arial" w:cs="Arial"/>
                <w:color w:val="000000"/>
                <w:sz w:val="20"/>
                <w:szCs w:val="20"/>
                <w:lang w:eastAsia="es-CO"/>
              </w:rPr>
              <w:t xml:space="preserve"> así como las evidencias aportadas en el SMGI, se identificó que en el periodo evaluado se llevaron a cabo  revisiones de novedades de nómina, de acuerdo con el marco</w:t>
            </w:r>
            <w:r>
              <w:rPr>
                <w:rFonts w:ascii="Arial" w:eastAsia="Times New Roman" w:hAnsi="Arial" w:cs="Arial"/>
                <w:color w:val="000000"/>
                <w:sz w:val="20"/>
                <w:szCs w:val="20"/>
                <w:lang w:eastAsia="es-CO"/>
              </w:rPr>
              <w:t xml:space="preserve"> normativo</w:t>
            </w:r>
            <w:r w:rsidRPr="00667AE7">
              <w:rPr>
                <w:rFonts w:ascii="Arial" w:eastAsia="Times New Roman" w:hAnsi="Arial" w:cs="Arial"/>
                <w:color w:val="000000"/>
                <w:sz w:val="20"/>
                <w:szCs w:val="20"/>
                <w:lang w:eastAsia="es-CO"/>
              </w:rPr>
              <w:t xml:space="preserve"> establecido par</w:t>
            </w:r>
            <w:r>
              <w:rPr>
                <w:rFonts w:ascii="Arial" w:eastAsia="Times New Roman" w:hAnsi="Arial" w:cs="Arial"/>
                <w:color w:val="000000"/>
                <w:sz w:val="20"/>
                <w:szCs w:val="20"/>
                <w:lang w:eastAsia="es-CO"/>
              </w:rPr>
              <w:t xml:space="preserve">a </w:t>
            </w:r>
            <w:r w:rsidRPr="00667AE7">
              <w:rPr>
                <w:rFonts w:ascii="Arial" w:eastAsia="Times New Roman" w:hAnsi="Arial" w:cs="Arial"/>
                <w:color w:val="000000"/>
                <w:sz w:val="20"/>
                <w:szCs w:val="20"/>
                <w:lang w:eastAsia="es-CO"/>
              </w:rPr>
              <w:t>sit</w:t>
            </w:r>
            <w:r>
              <w:rPr>
                <w:rFonts w:ascii="Arial" w:eastAsia="Times New Roman" w:hAnsi="Arial" w:cs="Arial"/>
                <w:color w:val="000000"/>
                <w:sz w:val="20"/>
                <w:szCs w:val="20"/>
                <w:lang w:eastAsia="es-CO"/>
              </w:rPr>
              <w:t>u</w:t>
            </w:r>
            <w:r w:rsidRPr="00667AE7">
              <w:rPr>
                <w:rFonts w:ascii="Arial" w:eastAsia="Times New Roman" w:hAnsi="Arial" w:cs="Arial"/>
                <w:color w:val="000000"/>
                <w:sz w:val="20"/>
                <w:szCs w:val="20"/>
                <w:lang w:eastAsia="es-CO"/>
              </w:rPr>
              <w:t xml:space="preserve">aciones administrativas </w:t>
            </w:r>
            <w:r>
              <w:rPr>
                <w:rFonts w:ascii="Arial" w:eastAsia="Times New Roman" w:hAnsi="Arial" w:cs="Arial"/>
                <w:color w:val="000000"/>
                <w:sz w:val="20"/>
                <w:szCs w:val="20"/>
                <w:lang w:eastAsia="es-CO"/>
              </w:rPr>
              <w:t xml:space="preserve">presentadas. </w:t>
            </w:r>
            <w:r w:rsidRPr="00667AE7">
              <w:rPr>
                <w:rFonts w:ascii="Arial" w:eastAsia="Times New Roman" w:hAnsi="Arial" w:cs="Arial"/>
                <w:color w:val="000000"/>
                <w:sz w:val="20"/>
                <w:szCs w:val="20"/>
                <w:lang w:eastAsia="es-CO"/>
              </w:rPr>
              <w:t xml:space="preserve"> </w:t>
            </w:r>
          </w:p>
        </w:tc>
        <w:tc>
          <w:tcPr>
            <w:tcW w:w="25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896666"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segundo cuatrimestre de la vigencia 2021.</w:t>
            </w:r>
          </w:p>
        </w:tc>
      </w:tr>
      <w:tr w:rsidR="00370A52" w:rsidRPr="00667AE7" w14:paraId="4D0ECC43" w14:textId="77777777" w:rsidTr="00667AE7">
        <w:trPr>
          <w:trHeight w:val="2175"/>
        </w:trPr>
        <w:tc>
          <w:tcPr>
            <w:tcW w:w="557" w:type="dxa"/>
            <w:vMerge/>
            <w:tcBorders>
              <w:top w:val="nil"/>
              <w:left w:val="single" w:sz="4" w:space="0" w:color="auto"/>
              <w:bottom w:val="single" w:sz="4" w:space="0" w:color="auto"/>
              <w:right w:val="single" w:sz="4" w:space="0" w:color="auto"/>
            </w:tcBorders>
            <w:vAlign w:val="center"/>
            <w:hideMark/>
          </w:tcPr>
          <w:p w14:paraId="0C25C7EF" w14:textId="77777777" w:rsidR="00370A52" w:rsidRPr="00667AE7" w:rsidRDefault="00370A52" w:rsidP="00667AE7">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2073CA35"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Ignorar novedades recibidas/Pérdida intencional de documentos soporte de las novedades</w:t>
            </w:r>
          </w:p>
        </w:tc>
        <w:tc>
          <w:tcPr>
            <w:tcW w:w="2586" w:type="dxa"/>
            <w:vMerge/>
            <w:tcBorders>
              <w:top w:val="nil"/>
              <w:left w:val="single" w:sz="4" w:space="0" w:color="auto"/>
              <w:bottom w:val="single" w:sz="4" w:space="0" w:color="auto"/>
              <w:right w:val="single" w:sz="4" w:space="0" w:color="auto"/>
            </w:tcBorders>
            <w:vAlign w:val="center"/>
            <w:hideMark/>
          </w:tcPr>
          <w:p w14:paraId="15211771"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1764" w:type="dxa"/>
            <w:vMerge/>
            <w:tcBorders>
              <w:top w:val="nil"/>
              <w:left w:val="single" w:sz="4" w:space="0" w:color="auto"/>
              <w:bottom w:val="single" w:sz="4" w:space="0" w:color="000000"/>
              <w:right w:val="single" w:sz="4" w:space="0" w:color="auto"/>
            </w:tcBorders>
            <w:vAlign w:val="center"/>
            <w:hideMark/>
          </w:tcPr>
          <w:p w14:paraId="318D08C4"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2094" w:type="dxa"/>
            <w:vMerge/>
            <w:tcBorders>
              <w:top w:val="nil"/>
              <w:left w:val="single" w:sz="4" w:space="0" w:color="auto"/>
              <w:bottom w:val="single" w:sz="4" w:space="0" w:color="000000"/>
              <w:right w:val="single" w:sz="4" w:space="0" w:color="auto"/>
            </w:tcBorders>
            <w:vAlign w:val="center"/>
            <w:hideMark/>
          </w:tcPr>
          <w:p w14:paraId="0A962252"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3440" w:type="dxa"/>
            <w:vMerge/>
            <w:tcBorders>
              <w:top w:val="nil"/>
              <w:left w:val="single" w:sz="4" w:space="0" w:color="auto"/>
              <w:bottom w:val="single" w:sz="4" w:space="0" w:color="000000"/>
              <w:right w:val="single" w:sz="4" w:space="0" w:color="auto"/>
            </w:tcBorders>
            <w:vAlign w:val="center"/>
            <w:hideMark/>
          </w:tcPr>
          <w:p w14:paraId="3CAF5278"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2514" w:type="dxa"/>
            <w:vMerge/>
            <w:tcBorders>
              <w:top w:val="nil"/>
              <w:left w:val="single" w:sz="4" w:space="0" w:color="auto"/>
              <w:bottom w:val="single" w:sz="4" w:space="0" w:color="000000"/>
              <w:right w:val="single" w:sz="4" w:space="0" w:color="auto"/>
            </w:tcBorders>
            <w:vAlign w:val="center"/>
            <w:hideMark/>
          </w:tcPr>
          <w:p w14:paraId="2CFBA5A7"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r>
      <w:tr w:rsidR="00370A52" w:rsidRPr="00667AE7" w14:paraId="71886DAF" w14:textId="77777777" w:rsidTr="00667AE7">
        <w:trPr>
          <w:trHeight w:val="795"/>
        </w:trPr>
        <w:tc>
          <w:tcPr>
            <w:tcW w:w="557" w:type="dxa"/>
            <w:vMerge/>
            <w:tcBorders>
              <w:top w:val="nil"/>
              <w:left w:val="single" w:sz="4" w:space="0" w:color="auto"/>
              <w:bottom w:val="single" w:sz="4" w:space="0" w:color="auto"/>
              <w:right w:val="single" w:sz="4" w:space="0" w:color="auto"/>
            </w:tcBorders>
            <w:vAlign w:val="center"/>
            <w:hideMark/>
          </w:tcPr>
          <w:p w14:paraId="4BBF02F3" w14:textId="77777777" w:rsidR="00370A52" w:rsidRPr="00667AE7" w:rsidRDefault="00370A52" w:rsidP="00667AE7">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79E11198"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Incluir novedades ficticias, ajustadas o adicionales para favorecer algún servidor</w:t>
            </w:r>
          </w:p>
        </w:tc>
        <w:tc>
          <w:tcPr>
            <w:tcW w:w="2586" w:type="dxa"/>
            <w:vMerge/>
            <w:tcBorders>
              <w:top w:val="nil"/>
              <w:left w:val="single" w:sz="4" w:space="0" w:color="auto"/>
              <w:bottom w:val="single" w:sz="4" w:space="0" w:color="auto"/>
              <w:right w:val="single" w:sz="4" w:space="0" w:color="auto"/>
            </w:tcBorders>
            <w:vAlign w:val="center"/>
            <w:hideMark/>
          </w:tcPr>
          <w:p w14:paraId="4A6CF4F2"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17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FDC426"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Ajuste del Sistema en formulación y/ o forma por parte  del Administrador </w:t>
            </w:r>
          </w:p>
        </w:tc>
        <w:tc>
          <w:tcPr>
            <w:tcW w:w="20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5AD6A6" w14:textId="77777777" w:rsidR="00370A52"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 identificó que el control establece su propósito para evitar la materialización del riesgo. </w:t>
            </w:r>
          </w:p>
          <w:p w14:paraId="61E966E9"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1DD2DB"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De acuerdo con lo reportado por el </w:t>
            </w:r>
            <w:r>
              <w:rPr>
                <w:rFonts w:ascii="Arial" w:eastAsia="Times New Roman" w:hAnsi="Arial" w:cs="Arial"/>
                <w:color w:val="000000"/>
                <w:sz w:val="20"/>
                <w:szCs w:val="20"/>
                <w:lang w:eastAsia="es-CO"/>
              </w:rPr>
              <w:t>proceso</w:t>
            </w:r>
            <w:r w:rsidRPr="00667AE7">
              <w:rPr>
                <w:rFonts w:ascii="Arial" w:eastAsia="Times New Roman" w:hAnsi="Arial" w:cs="Arial"/>
                <w:color w:val="000000"/>
                <w:sz w:val="20"/>
                <w:szCs w:val="20"/>
                <w:lang w:eastAsia="es-CO"/>
              </w:rPr>
              <w:t xml:space="preserve"> en el SMGI, durante el periodo evaluado no se efectuaron ajustes al sistema SARA de la Entidad. </w:t>
            </w:r>
          </w:p>
        </w:tc>
        <w:tc>
          <w:tcPr>
            <w:tcW w:w="25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2F1012"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segundo cuatrimestre de la vigencia 2021</w:t>
            </w:r>
            <w:r>
              <w:rPr>
                <w:rFonts w:ascii="Arial" w:eastAsia="Times New Roman" w:hAnsi="Arial" w:cs="Arial"/>
                <w:color w:val="000000"/>
                <w:sz w:val="20"/>
                <w:szCs w:val="20"/>
                <w:lang w:eastAsia="es-CO"/>
              </w:rPr>
              <w:t xml:space="preserve">, en razón a que no se aplicó. </w:t>
            </w:r>
          </w:p>
        </w:tc>
      </w:tr>
      <w:tr w:rsidR="00370A52" w:rsidRPr="00667AE7" w14:paraId="12ECA4D1" w14:textId="77777777" w:rsidTr="00667AE7">
        <w:trPr>
          <w:trHeight w:val="85"/>
        </w:trPr>
        <w:tc>
          <w:tcPr>
            <w:tcW w:w="557" w:type="dxa"/>
            <w:vMerge/>
            <w:tcBorders>
              <w:top w:val="nil"/>
              <w:left w:val="single" w:sz="4" w:space="0" w:color="auto"/>
              <w:bottom w:val="single" w:sz="4" w:space="0" w:color="auto"/>
              <w:right w:val="single" w:sz="4" w:space="0" w:color="auto"/>
            </w:tcBorders>
            <w:vAlign w:val="center"/>
            <w:hideMark/>
          </w:tcPr>
          <w:p w14:paraId="19E4C90A" w14:textId="77777777" w:rsidR="00370A52" w:rsidRPr="00667AE7" w:rsidRDefault="00370A52" w:rsidP="00667AE7">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79013ED9"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Alterar la información del sistema de nómina</w:t>
            </w:r>
          </w:p>
        </w:tc>
        <w:tc>
          <w:tcPr>
            <w:tcW w:w="2586" w:type="dxa"/>
            <w:vMerge/>
            <w:tcBorders>
              <w:top w:val="nil"/>
              <w:left w:val="single" w:sz="4" w:space="0" w:color="auto"/>
              <w:bottom w:val="single" w:sz="4" w:space="0" w:color="auto"/>
              <w:right w:val="single" w:sz="4" w:space="0" w:color="auto"/>
            </w:tcBorders>
            <w:vAlign w:val="center"/>
            <w:hideMark/>
          </w:tcPr>
          <w:p w14:paraId="3FD51034"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1764" w:type="dxa"/>
            <w:vMerge/>
            <w:tcBorders>
              <w:top w:val="nil"/>
              <w:left w:val="single" w:sz="4" w:space="0" w:color="auto"/>
              <w:bottom w:val="single" w:sz="4" w:space="0" w:color="000000"/>
              <w:right w:val="single" w:sz="4" w:space="0" w:color="auto"/>
            </w:tcBorders>
            <w:vAlign w:val="center"/>
            <w:hideMark/>
          </w:tcPr>
          <w:p w14:paraId="6BDB8104"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2094" w:type="dxa"/>
            <w:vMerge/>
            <w:tcBorders>
              <w:top w:val="nil"/>
              <w:left w:val="single" w:sz="4" w:space="0" w:color="auto"/>
              <w:bottom w:val="single" w:sz="4" w:space="0" w:color="000000"/>
              <w:right w:val="single" w:sz="4" w:space="0" w:color="auto"/>
            </w:tcBorders>
            <w:vAlign w:val="center"/>
            <w:hideMark/>
          </w:tcPr>
          <w:p w14:paraId="5EF16665"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3440" w:type="dxa"/>
            <w:vMerge/>
            <w:tcBorders>
              <w:top w:val="nil"/>
              <w:left w:val="single" w:sz="4" w:space="0" w:color="auto"/>
              <w:bottom w:val="single" w:sz="4" w:space="0" w:color="000000"/>
              <w:right w:val="single" w:sz="4" w:space="0" w:color="auto"/>
            </w:tcBorders>
            <w:vAlign w:val="center"/>
            <w:hideMark/>
          </w:tcPr>
          <w:p w14:paraId="6DF218EA"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2514" w:type="dxa"/>
            <w:vMerge/>
            <w:tcBorders>
              <w:top w:val="nil"/>
              <w:left w:val="single" w:sz="4" w:space="0" w:color="auto"/>
              <w:bottom w:val="single" w:sz="4" w:space="0" w:color="000000"/>
              <w:right w:val="single" w:sz="4" w:space="0" w:color="auto"/>
            </w:tcBorders>
            <w:vAlign w:val="center"/>
            <w:hideMark/>
          </w:tcPr>
          <w:p w14:paraId="7BB2BC3F"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r>
      <w:tr w:rsidR="00370A52" w:rsidRPr="00667AE7" w14:paraId="79141977" w14:textId="77777777" w:rsidTr="00667AE7">
        <w:trPr>
          <w:trHeight w:val="2023"/>
        </w:trPr>
        <w:tc>
          <w:tcPr>
            <w:tcW w:w="5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7B9702" w14:textId="77777777" w:rsidR="00370A52" w:rsidRPr="00667AE7" w:rsidRDefault="00370A52" w:rsidP="00667AE7">
            <w:pPr>
              <w:spacing w:after="0" w:line="240" w:lineRule="auto"/>
              <w:jc w:val="center"/>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7</w:t>
            </w:r>
          </w:p>
        </w:tc>
        <w:tc>
          <w:tcPr>
            <w:tcW w:w="2639" w:type="dxa"/>
            <w:tcBorders>
              <w:top w:val="nil"/>
              <w:left w:val="nil"/>
              <w:bottom w:val="single" w:sz="4" w:space="0" w:color="auto"/>
              <w:right w:val="single" w:sz="4" w:space="0" w:color="auto"/>
            </w:tcBorders>
            <w:shd w:val="clear" w:color="000000" w:fill="FFFFFF"/>
            <w:vAlign w:val="center"/>
            <w:hideMark/>
          </w:tcPr>
          <w:p w14:paraId="6F5CDA3A"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Filtración de información desde los integrantes del equipo de comunicaciones</w:t>
            </w: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2CCD3E"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R41 Divulgación de información errónea y poco confiable de manera mal intencionada en beneficio propio o partes interesadas</w:t>
            </w:r>
          </w:p>
        </w:tc>
        <w:tc>
          <w:tcPr>
            <w:tcW w:w="1764" w:type="dxa"/>
            <w:tcBorders>
              <w:top w:val="nil"/>
              <w:left w:val="nil"/>
              <w:bottom w:val="single" w:sz="4" w:space="0" w:color="auto"/>
              <w:right w:val="single" w:sz="4" w:space="0" w:color="auto"/>
            </w:tcBorders>
            <w:shd w:val="clear" w:color="000000" w:fill="FFFFFF"/>
            <w:vAlign w:val="center"/>
            <w:hideMark/>
          </w:tcPr>
          <w:p w14:paraId="49CAAC33"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Verificación de la información suministrada, con fuentes y derechos de autor.</w:t>
            </w:r>
          </w:p>
        </w:tc>
        <w:tc>
          <w:tcPr>
            <w:tcW w:w="2094" w:type="dxa"/>
            <w:tcBorders>
              <w:top w:val="nil"/>
              <w:left w:val="nil"/>
              <w:bottom w:val="single" w:sz="4" w:space="0" w:color="auto"/>
              <w:right w:val="single" w:sz="4" w:space="0" w:color="auto"/>
            </w:tcBorders>
            <w:shd w:val="clear" w:color="000000" w:fill="FFFFFF"/>
            <w:vAlign w:val="center"/>
            <w:hideMark/>
          </w:tcPr>
          <w:p w14:paraId="7F3CF0D9" w14:textId="77777777" w:rsidR="00370A52"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 identificó que el control establece su propósito para evitar la materialización del riesgo. </w:t>
            </w:r>
          </w:p>
          <w:p w14:paraId="5FF0AA3E"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tcBorders>
              <w:top w:val="nil"/>
              <w:left w:val="nil"/>
              <w:bottom w:val="single" w:sz="4" w:space="0" w:color="auto"/>
              <w:right w:val="single" w:sz="4" w:space="0" w:color="auto"/>
            </w:tcBorders>
            <w:shd w:val="clear" w:color="000000" w:fill="FFFFFF"/>
            <w:vAlign w:val="center"/>
            <w:hideMark/>
          </w:tcPr>
          <w:p w14:paraId="2EBFFEA4"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De conformidad por lo manifestado por el </w:t>
            </w:r>
            <w:r>
              <w:rPr>
                <w:rFonts w:ascii="Arial" w:eastAsia="Times New Roman" w:hAnsi="Arial" w:cs="Arial"/>
                <w:color w:val="000000"/>
                <w:sz w:val="20"/>
                <w:szCs w:val="20"/>
                <w:lang w:eastAsia="es-CO"/>
              </w:rPr>
              <w:t>proceso</w:t>
            </w:r>
            <w:r w:rsidRPr="00667AE7">
              <w:rPr>
                <w:rFonts w:ascii="Arial" w:eastAsia="Times New Roman" w:hAnsi="Arial" w:cs="Arial"/>
                <w:color w:val="000000"/>
                <w:sz w:val="20"/>
                <w:szCs w:val="20"/>
                <w:lang w:eastAsia="es-CO"/>
              </w:rPr>
              <w:t xml:space="preserve"> en el SMGI, durante el periodo evaluado se verificó información, con el fin de identificar que cumplieran con lineamientos de Derechos de Autor. Se evidenció documento Word que contiene pantallazos de</w:t>
            </w:r>
            <w:r>
              <w:rPr>
                <w:rFonts w:ascii="Arial" w:eastAsia="Times New Roman" w:hAnsi="Arial" w:cs="Arial"/>
                <w:color w:val="000000"/>
                <w:sz w:val="20"/>
                <w:szCs w:val="20"/>
                <w:lang w:eastAsia="es-CO"/>
              </w:rPr>
              <w:t>l</w:t>
            </w:r>
            <w:r w:rsidRPr="00667AE7">
              <w:rPr>
                <w:rFonts w:ascii="Arial" w:eastAsia="Times New Roman" w:hAnsi="Arial" w:cs="Arial"/>
                <w:color w:val="000000"/>
                <w:sz w:val="20"/>
                <w:szCs w:val="20"/>
                <w:lang w:eastAsia="es-CO"/>
              </w:rPr>
              <w:t xml:space="preserve"> ejer</w:t>
            </w:r>
            <w:r>
              <w:rPr>
                <w:rFonts w:ascii="Arial" w:eastAsia="Times New Roman" w:hAnsi="Arial" w:cs="Arial"/>
                <w:color w:val="000000"/>
                <w:sz w:val="20"/>
                <w:szCs w:val="20"/>
                <w:lang w:eastAsia="es-CO"/>
              </w:rPr>
              <w:t>cicio</w:t>
            </w:r>
            <w:r w:rsidRPr="00667AE7">
              <w:rPr>
                <w:rFonts w:ascii="Arial" w:eastAsia="Times New Roman" w:hAnsi="Arial" w:cs="Arial"/>
                <w:color w:val="000000"/>
                <w:sz w:val="20"/>
                <w:szCs w:val="20"/>
                <w:lang w:eastAsia="es-CO"/>
              </w:rPr>
              <w:t xml:space="preserve"> de revisión. </w:t>
            </w:r>
          </w:p>
        </w:tc>
        <w:tc>
          <w:tcPr>
            <w:tcW w:w="2514" w:type="dxa"/>
            <w:tcBorders>
              <w:top w:val="nil"/>
              <w:left w:val="nil"/>
              <w:bottom w:val="single" w:sz="4" w:space="0" w:color="auto"/>
              <w:right w:val="single" w:sz="4" w:space="0" w:color="auto"/>
            </w:tcBorders>
            <w:shd w:val="clear" w:color="000000" w:fill="FFFFFF"/>
            <w:vAlign w:val="center"/>
            <w:hideMark/>
          </w:tcPr>
          <w:p w14:paraId="1698A58F"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segundo cuatrimestre de la vigencia 2021.</w:t>
            </w:r>
          </w:p>
        </w:tc>
      </w:tr>
      <w:tr w:rsidR="00370A52" w:rsidRPr="00667AE7" w14:paraId="32496A59" w14:textId="77777777" w:rsidTr="00703C25">
        <w:trPr>
          <w:trHeight w:val="366"/>
        </w:trPr>
        <w:tc>
          <w:tcPr>
            <w:tcW w:w="557" w:type="dxa"/>
            <w:vMerge/>
            <w:tcBorders>
              <w:top w:val="nil"/>
              <w:left w:val="single" w:sz="4" w:space="0" w:color="auto"/>
              <w:bottom w:val="single" w:sz="4" w:space="0" w:color="auto"/>
              <w:right w:val="single" w:sz="4" w:space="0" w:color="auto"/>
            </w:tcBorders>
            <w:vAlign w:val="center"/>
            <w:hideMark/>
          </w:tcPr>
          <w:p w14:paraId="1321E51E" w14:textId="77777777" w:rsidR="00370A52" w:rsidRPr="00667AE7" w:rsidRDefault="00370A52" w:rsidP="00667AE7">
            <w:pPr>
              <w:spacing w:after="0" w:line="240" w:lineRule="auto"/>
              <w:rPr>
                <w:rFonts w:ascii="Arial" w:eastAsia="Times New Roman" w:hAnsi="Arial" w:cs="Arial"/>
                <w:color w:val="000000"/>
                <w:sz w:val="20"/>
                <w:szCs w:val="20"/>
                <w:lang w:eastAsia="es-CO"/>
              </w:rPr>
            </w:pPr>
          </w:p>
        </w:tc>
        <w:tc>
          <w:tcPr>
            <w:tcW w:w="26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5F5F2E"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Información alterada o que no corresponda por parte de las dependencias</w:t>
            </w:r>
          </w:p>
        </w:tc>
        <w:tc>
          <w:tcPr>
            <w:tcW w:w="2586" w:type="dxa"/>
            <w:vMerge/>
            <w:tcBorders>
              <w:top w:val="nil"/>
              <w:left w:val="single" w:sz="4" w:space="0" w:color="auto"/>
              <w:bottom w:val="single" w:sz="4" w:space="0" w:color="auto"/>
              <w:right w:val="single" w:sz="4" w:space="0" w:color="auto"/>
            </w:tcBorders>
            <w:vAlign w:val="center"/>
            <w:hideMark/>
          </w:tcPr>
          <w:p w14:paraId="63D332CA"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1764" w:type="dxa"/>
            <w:tcBorders>
              <w:top w:val="nil"/>
              <w:left w:val="nil"/>
              <w:bottom w:val="single" w:sz="4" w:space="0" w:color="auto"/>
              <w:right w:val="single" w:sz="4" w:space="0" w:color="auto"/>
            </w:tcBorders>
            <w:shd w:val="clear" w:color="000000" w:fill="FFFFFF"/>
            <w:vAlign w:val="center"/>
            <w:hideMark/>
          </w:tcPr>
          <w:p w14:paraId="3850495F"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Divulgación permanente de las políticas del proceso.</w:t>
            </w:r>
          </w:p>
        </w:tc>
        <w:tc>
          <w:tcPr>
            <w:tcW w:w="2094" w:type="dxa"/>
            <w:tcBorders>
              <w:top w:val="nil"/>
              <w:left w:val="nil"/>
              <w:bottom w:val="single" w:sz="4" w:space="0" w:color="auto"/>
              <w:right w:val="single" w:sz="4" w:space="0" w:color="auto"/>
            </w:tcBorders>
            <w:shd w:val="clear" w:color="000000" w:fill="FFFFFF"/>
            <w:vAlign w:val="center"/>
            <w:hideMark/>
          </w:tcPr>
          <w:p w14:paraId="7B1BA11E" w14:textId="77777777" w:rsidR="00370A52"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 identificó que el control establece su propósito para evitar la materialización del riesgo. </w:t>
            </w:r>
          </w:p>
          <w:p w14:paraId="6E00F368"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tcBorders>
              <w:top w:val="nil"/>
              <w:left w:val="nil"/>
              <w:bottom w:val="single" w:sz="4" w:space="0" w:color="auto"/>
              <w:right w:val="single" w:sz="4" w:space="0" w:color="auto"/>
            </w:tcBorders>
            <w:shd w:val="clear" w:color="000000" w:fill="FFFFFF"/>
            <w:vAlign w:val="center"/>
            <w:hideMark/>
          </w:tcPr>
          <w:p w14:paraId="3586D232"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Según lo comentado por el </w:t>
            </w:r>
            <w:r>
              <w:rPr>
                <w:rFonts w:ascii="Arial" w:eastAsia="Times New Roman" w:hAnsi="Arial" w:cs="Arial"/>
                <w:color w:val="000000"/>
                <w:sz w:val="20"/>
                <w:szCs w:val="20"/>
                <w:lang w:eastAsia="es-CO"/>
              </w:rPr>
              <w:t>proceso</w:t>
            </w:r>
            <w:r w:rsidRPr="00667AE7">
              <w:rPr>
                <w:rFonts w:ascii="Arial" w:eastAsia="Times New Roman" w:hAnsi="Arial" w:cs="Arial"/>
                <w:color w:val="000000"/>
                <w:sz w:val="20"/>
                <w:szCs w:val="20"/>
                <w:lang w:eastAsia="es-CO"/>
              </w:rPr>
              <w:t xml:space="preserve"> en SMGI, durante el periodo evaluado se divulgaron las políticas del proceso de comunicaciones a través de la Intranet y del correo electrónico institucional. Se evidenció documento Word que contiene los </w:t>
            </w:r>
            <w:r w:rsidRPr="00667AE7">
              <w:rPr>
                <w:rFonts w:ascii="Arial" w:eastAsia="Times New Roman" w:hAnsi="Arial" w:cs="Arial"/>
                <w:color w:val="000000"/>
                <w:sz w:val="20"/>
                <w:szCs w:val="20"/>
                <w:lang w:eastAsia="es-CO"/>
              </w:rPr>
              <w:lastRenderedPageBreak/>
              <w:t>enlaces</w:t>
            </w:r>
            <w:r>
              <w:rPr>
                <w:rFonts w:ascii="Arial" w:eastAsia="Times New Roman" w:hAnsi="Arial" w:cs="Arial"/>
                <w:color w:val="000000"/>
                <w:sz w:val="20"/>
                <w:szCs w:val="20"/>
                <w:lang w:eastAsia="es-CO"/>
              </w:rPr>
              <w:t>,</w:t>
            </w:r>
            <w:r w:rsidRPr="00667AE7">
              <w:rPr>
                <w:rFonts w:ascii="Arial" w:eastAsia="Times New Roman" w:hAnsi="Arial" w:cs="Arial"/>
                <w:color w:val="000000"/>
                <w:sz w:val="20"/>
                <w:szCs w:val="20"/>
                <w:lang w:eastAsia="es-CO"/>
              </w:rPr>
              <w:t xml:space="preserve"> donde se verificó la publicación de la información citada previamente. </w:t>
            </w:r>
          </w:p>
        </w:tc>
        <w:tc>
          <w:tcPr>
            <w:tcW w:w="2514" w:type="dxa"/>
            <w:tcBorders>
              <w:top w:val="nil"/>
              <w:left w:val="nil"/>
              <w:bottom w:val="single" w:sz="4" w:space="0" w:color="auto"/>
              <w:right w:val="single" w:sz="4" w:space="0" w:color="auto"/>
            </w:tcBorders>
            <w:shd w:val="clear" w:color="000000" w:fill="FFFFFF"/>
            <w:vAlign w:val="center"/>
            <w:hideMark/>
          </w:tcPr>
          <w:p w14:paraId="103A93EB"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lastRenderedPageBreak/>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segundo cuatrimestre de la vigencia 2021.</w:t>
            </w:r>
          </w:p>
        </w:tc>
      </w:tr>
      <w:tr w:rsidR="00370A52" w:rsidRPr="00667AE7" w14:paraId="215B0083" w14:textId="77777777" w:rsidTr="00667AE7">
        <w:trPr>
          <w:trHeight w:val="85"/>
        </w:trPr>
        <w:tc>
          <w:tcPr>
            <w:tcW w:w="557" w:type="dxa"/>
            <w:vMerge/>
            <w:tcBorders>
              <w:top w:val="nil"/>
              <w:left w:val="single" w:sz="4" w:space="0" w:color="auto"/>
              <w:bottom w:val="single" w:sz="4" w:space="0" w:color="auto"/>
              <w:right w:val="single" w:sz="4" w:space="0" w:color="auto"/>
            </w:tcBorders>
            <w:vAlign w:val="center"/>
            <w:hideMark/>
          </w:tcPr>
          <w:p w14:paraId="4581B937" w14:textId="77777777" w:rsidR="00370A52" w:rsidRPr="00667AE7" w:rsidRDefault="00370A52" w:rsidP="00667AE7">
            <w:pPr>
              <w:spacing w:after="0" w:line="240" w:lineRule="auto"/>
              <w:rPr>
                <w:rFonts w:ascii="Arial" w:eastAsia="Times New Roman" w:hAnsi="Arial" w:cs="Arial"/>
                <w:color w:val="000000"/>
                <w:sz w:val="20"/>
                <w:szCs w:val="20"/>
                <w:lang w:eastAsia="es-CO"/>
              </w:rPr>
            </w:pPr>
          </w:p>
        </w:tc>
        <w:tc>
          <w:tcPr>
            <w:tcW w:w="2639" w:type="dxa"/>
            <w:vMerge/>
            <w:tcBorders>
              <w:top w:val="nil"/>
              <w:left w:val="single" w:sz="4" w:space="0" w:color="auto"/>
              <w:bottom w:val="single" w:sz="4" w:space="0" w:color="000000"/>
              <w:right w:val="single" w:sz="4" w:space="0" w:color="auto"/>
            </w:tcBorders>
            <w:vAlign w:val="center"/>
            <w:hideMark/>
          </w:tcPr>
          <w:p w14:paraId="1CAB4781"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2586" w:type="dxa"/>
            <w:vMerge/>
            <w:tcBorders>
              <w:top w:val="nil"/>
              <w:left w:val="single" w:sz="4" w:space="0" w:color="auto"/>
              <w:bottom w:val="single" w:sz="4" w:space="0" w:color="auto"/>
              <w:right w:val="single" w:sz="4" w:space="0" w:color="auto"/>
            </w:tcBorders>
            <w:vAlign w:val="center"/>
            <w:hideMark/>
          </w:tcPr>
          <w:p w14:paraId="71E2CF24"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1764" w:type="dxa"/>
            <w:tcBorders>
              <w:top w:val="nil"/>
              <w:left w:val="nil"/>
              <w:bottom w:val="single" w:sz="4" w:space="0" w:color="auto"/>
              <w:right w:val="single" w:sz="4" w:space="0" w:color="auto"/>
            </w:tcBorders>
            <w:shd w:val="clear" w:color="000000" w:fill="FFFFFF"/>
            <w:vAlign w:val="center"/>
            <w:hideMark/>
          </w:tcPr>
          <w:p w14:paraId="25318986"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Coordinación de entrevistas y solicitudes de información.</w:t>
            </w:r>
          </w:p>
        </w:tc>
        <w:tc>
          <w:tcPr>
            <w:tcW w:w="2094" w:type="dxa"/>
            <w:tcBorders>
              <w:top w:val="nil"/>
              <w:left w:val="nil"/>
              <w:bottom w:val="single" w:sz="4" w:space="0" w:color="auto"/>
              <w:right w:val="single" w:sz="4" w:space="0" w:color="auto"/>
            </w:tcBorders>
            <w:shd w:val="clear" w:color="000000" w:fill="FFFFFF"/>
            <w:vAlign w:val="center"/>
            <w:hideMark/>
          </w:tcPr>
          <w:p w14:paraId="78758D74" w14:textId="77777777" w:rsidR="00370A52"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 identificó que el control establece su propósito para evitar la materialización del riesgo. </w:t>
            </w:r>
          </w:p>
          <w:p w14:paraId="50C088AF"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tcBorders>
              <w:top w:val="nil"/>
              <w:left w:val="nil"/>
              <w:bottom w:val="single" w:sz="4" w:space="0" w:color="auto"/>
              <w:right w:val="single" w:sz="4" w:space="0" w:color="auto"/>
            </w:tcBorders>
            <w:shd w:val="clear" w:color="000000" w:fill="FFFFFF"/>
            <w:vAlign w:val="center"/>
            <w:hideMark/>
          </w:tcPr>
          <w:p w14:paraId="054890FF"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De acuerdo con lo reportado por el </w:t>
            </w:r>
            <w:r>
              <w:rPr>
                <w:rFonts w:ascii="Arial" w:eastAsia="Times New Roman" w:hAnsi="Arial" w:cs="Arial"/>
                <w:color w:val="000000"/>
                <w:sz w:val="20"/>
                <w:szCs w:val="20"/>
                <w:lang w:eastAsia="es-CO"/>
              </w:rPr>
              <w:t>proceso</w:t>
            </w:r>
            <w:r w:rsidRPr="00667AE7">
              <w:rPr>
                <w:rFonts w:ascii="Arial" w:eastAsia="Times New Roman" w:hAnsi="Arial" w:cs="Arial"/>
                <w:color w:val="000000"/>
                <w:sz w:val="20"/>
                <w:szCs w:val="20"/>
                <w:lang w:eastAsia="es-CO"/>
              </w:rPr>
              <w:t xml:space="preserve"> en el SMGI, en el periodo evaluado se coordinaron entrevistas y s</w:t>
            </w:r>
            <w:r>
              <w:rPr>
                <w:rFonts w:ascii="Arial" w:eastAsia="Times New Roman" w:hAnsi="Arial" w:cs="Arial"/>
                <w:color w:val="000000"/>
                <w:sz w:val="20"/>
                <w:szCs w:val="20"/>
                <w:lang w:eastAsia="es-CO"/>
              </w:rPr>
              <w:t>o</w:t>
            </w:r>
            <w:r w:rsidRPr="00667AE7">
              <w:rPr>
                <w:rFonts w:ascii="Arial" w:eastAsia="Times New Roman" w:hAnsi="Arial" w:cs="Arial"/>
                <w:color w:val="000000"/>
                <w:sz w:val="20"/>
                <w:szCs w:val="20"/>
                <w:lang w:eastAsia="es-CO"/>
              </w:rPr>
              <w:t xml:space="preserve">licitudes de información vía correo electrónico y WhatsApp. Se evidenció documento Word que contiene pantallazos de dichas comunicaciones. </w:t>
            </w:r>
          </w:p>
        </w:tc>
        <w:tc>
          <w:tcPr>
            <w:tcW w:w="2514" w:type="dxa"/>
            <w:tcBorders>
              <w:top w:val="nil"/>
              <w:left w:val="nil"/>
              <w:bottom w:val="single" w:sz="4" w:space="0" w:color="auto"/>
              <w:right w:val="single" w:sz="4" w:space="0" w:color="auto"/>
            </w:tcBorders>
            <w:shd w:val="clear" w:color="000000" w:fill="FFFFFF"/>
            <w:vAlign w:val="center"/>
            <w:hideMark/>
          </w:tcPr>
          <w:p w14:paraId="773AAF10" w14:textId="7A9D9EE2" w:rsidR="0066083E" w:rsidRPr="00667AE7" w:rsidRDefault="003E0E08"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No se observaron novedades relacionadas con la ejecución del control durante </w:t>
            </w:r>
            <w:r>
              <w:rPr>
                <w:rFonts w:ascii="Arial" w:eastAsia="Times New Roman" w:hAnsi="Arial" w:cs="Arial"/>
                <w:color w:val="000000"/>
                <w:sz w:val="20"/>
                <w:szCs w:val="20"/>
                <w:lang w:eastAsia="es-CO"/>
              </w:rPr>
              <w:t xml:space="preserve">el </w:t>
            </w:r>
            <w:r w:rsidRPr="00667AE7">
              <w:rPr>
                <w:rFonts w:ascii="Arial" w:eastAsia="Times New Roman" w:hAnsi="Arial" w:cs="Arial"/>
                <w:color w:val="000000"/>
                <w:sz w:val="20"/>
                <w:szCs w:val="20"/>
                <w:lang w:eastAsia="es-CO"/>
              </w:rPr>
              <w:t>segundo cuatrimestre de la vigencia 2021.</w:t>
            </w:r>
          </w:p>
        </w:tc>
      </w:tr>
      <w:tr w:rsidR="00370A52" w:rsidRPr="00667AE7" w14:paraId="6FC910F7" w14:textId="77777777" w:rsidTr="00703C25">
        <w:trPr>
          <w:trHeight w:val="2127"/>
        </w:trPr>
        <w:tc>
          <w:tcPr>
            <w:tcW w:w="557" w:type="dxa"/>
            <w:vMerge/>
            <w:tcBorders>
              <w:top w:val="nil"/>
              <w:left w:val="single" w:sz="4" w:space="0" w:color="auto"/>
              <w:bottom w:val="single" w:sz="4" w:space="0" w:color="auto"/>
              <w:right w:val="single" w:sz="4" w:space="0" w:color="auto"/>
            </w:tcBorders>
            <w:vAlign w:val="center"/>
            <w:hideMark/>
          </w:tcPr>
          <w:p w14:paraId="3B2F5345" w14:textId="77777777" w:rsidR="00370A52" w:rsidRPr="00667AE7" w:rsidRDefault="00370A52" w:rsidP="00667AE7">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219A41F4"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Presiones indebidas por partes interesadas.</w:t>
            </w:r>
          </w:p>
        </w:tc>
        <w:tc>
          <w:tcPr>
            <w:tcW w:w="2586" w:type="dxa"/>
            <w:vMerge/>
            <w:tcBorders>
              <w:top w:val="nil"/>
              <w:left w:val="single" w:sz="4" w:space="0" w:color="auto"/>
              <w:bottom w:val="single" w:sz="4" w:space="0" w:color="auto"/>
              <w:right w:val="single" w:sz="4" w:space="0" w:color="auto"/>
            </w:tcBorders>
            <w:vAlign w:val="center"/>
            <w:hideMark/>
          </w:tcPr>
          <w:p w14:paraId="35E0F6D9"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1764" w:type="dxa"/>
            <w:tcBorders>
              <w:top w:val="nil"/>
              <w:left w:val="nil"/>
              <w:bottom w:val="single" w:sz="4" w:space="0" w:color="auto"/>
              <w:right w:val="single" w:sz="4" w:space="0" w:color="auto"/>
            </w:tcBorders>
            <w:shd w:val="clear" w:color="000000" w:fill="FFFFFF"/>
            <w:vAlign w:val="center"/>
            <w:hideMark/>
          </w:tcPr>
          <w:p w14:paraId="126AA812"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Reuniones con el equipo de trabajo</w:t>
            </w:r>
          </w:p>
        </w:tc>
        <w:tc>
          <w:tcPr>
            <w:tcW w:w="2094" w:type="dxa"/>
            <w:tcBorders>
              <w:top w:val="nil"/>
              <w:left w:val="nil"/>
              <w:bottom w:val="single" w:sz="4" w:space="0" w:color="auto"/>
              <w:right w:val="single" w:sz="4" w:space="0" w:color="auto"/>
            </w:tcBorders>
            <w:shd w:val="clear" w:color="000000" w:fill="FFFFFF"/>
            <w:vAlign w:val="center"/>
            <w:hideMark/>
          </w:tcPr>
          <w:p w14:paraId="20BE67B9" w14:textId="77777777" w:rsidR="00370A52"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 identificó que el control establece su propósito para evitar la materialización del riesgo. </w:t>
            </w:r>
          </w:p>
          <w:p w14:paraId="439DEBFD"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tcBorders>
              <w:top w:val="nil"/>
              <w:left w:val="nil"/>
              <w:bottom w:val="single" w:sz="4" w:space="0" w:color="auto"/>
              <w:right w:val="single" w:sz="4" w:space="0" w:color="auto"/>
            </w:tcBorders>
            <w:shd w:val="clear" w:color="000000" w:fill="FFFFFF"/>
            <w:vAlign w:val="center"/>
            <w:hideMark/>
          </w:tcPr>
          <w:p w14:paraId="1C732334"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De conformidad por lo manifestado por el </w:t>
            </w:r>
            <w:r>
              <w:rPr>
                <w:rFonts w:ascii="Arial" w:eastAsia="Times New Roman" w:hAnsi="Arial" w:cs="Arial"/>
                <w:color w:val="000000"/>
                <w:sz w:val="20"/>
                <w:szCs w:val="20"/>
                <w:lang w:eastAsia="es-CO"/>
              </w:rPr>
              <w:t xml:space="preserve">proceso </w:t>
            </w:r>
            <w:r w:rsidRPr="00667AE7">
              <w:rPr>
                <w:rFonts w:ascii="Arial" w:eastAsia="Times New Roman" w:hAnsi="Arial" w:cs="Arial"/>
                <w:color w:val="000000"/>
                <w:sz w:val="20"/>
                <w:szCs w:val="20"/>
                <w:lang w:eastAsia="es-CO"/>
              </w:rPr>
              <w:t>en el SMGI, durante el periodo evaluado se ll</w:t>
            </w:r>
            <w:r>
              <w:rPr>
                <w:rFonts w:ascii="Arial" w:eastAsia="Times New Roman" w:hAnsi="Arial" w:cs="Arial"/>
                <w:color w:val="000000"/>
                <w:sz w:val="20"/>
                <w:szCs w:val="20"/>
                <w:lang w:eastAsia="es-CO"/>
              </w:rPr>
              <w:t>e</w:t>
            </w:r>
            <w:r w:rsidRPr="00667AE7">
              <w:rPr>
                <w:rFonts w:ascii="Arial" w:eastAsia="Times New Roman" w:hAnsi="Arial" w:cs="Arial"/>
                <w:color w:val="000000"/>
                <w:sz w:val="20"/>
                <w:szCs w:val="20"/>
                <w:lang w:eastAsia="es-CO"/>
              </w:rPr>
              <w:t>varon a cabo reuni</w:t>
            </w:r>
            <w:r>
              <w:rPr>
                <w:rFonts w:ascii="Arial" w:eastAsia="Times New Roman" w:hAnsi="Arial" w:cs="Arial"/>
                <w:color w:val="000000"/>
                <w:sz w:val="20"/>
                <w:szCs w:val="20"/>
                <w:lang w:eastAsia="es-CO"/>
              </w:rPr>
              <w:t xml:space="preserve">ones </w:t>
            </w:r>
            <w:r w:rsidRPr="00667AE7">
              <w:rPr>
                <w:rFonts w:ascii="Arial" w:eastAsia="Times New Roman" w:hAnsi="Arial" w:cs="Arial"/>
                <w:color w:val="000000"/>
                <w:sz w:val="20"/>
                <w:szCs w:val="20"/>
                <w:lang w:eastAsia="es-CO"/>
              </w:rPr>
              <w:t xml:space="preserve">del equipo de trabajo de Comunicaciones en las que se trataron temas propios del </w:t>
            </w:r>
            <w:r>
              <w:rPr>
                <w:rFonts w:ascii="Arial" w:eastAsia="Times New Roman" w:hAnsi="Arial" w:cs="Arial"/>
                <w:color w:val="000000"/>
                <w:sz w:val="20"/>
                <w:szCs w:val="20"/>
                <w:lang w:eastAsia="es-CO"/>
              </w:rPr>
              <w:t xml:space="preserve">área </w:t>
            </w:r>
            <w:r w:rsidRPr="00667AE7">
              <w:rPr>
                <w:rFonts w:ascii="Arial" w:eastAsia="Times New Roman" w:hAnsi="Arial" w:cs="Arial"/>
                <w:color w:val="000000"/>
                <w:sz w:val="20"/>
                <w:szCs w:val="20"/>
                <w:lang w:eastAsia="es-CO"/>
              </w:rPr>
              <w:t xml:space="preserve"> y se </w:t>
            </w:r>
            <w:r>
              <w:rPr>
                <w:rFonts w:ascii="Arial" w:eastAsia="Times New Roman" w:hAnsi="Arial" w:cs="Arial"/>
                <w:color w:val="000000"/>
                <w:sz w:val="20"/>
                <w:szCs w:val="20"/>
                <w:lang w:eastAsia="es-CO"/>
              </w:rPr>
              <w:t>comentaron</w:t>
            </w:r>
            <w:r w:rsidRPr="00667AE7">
              <w:rPr>
                <w:rFonts w:ascii="Arial" w:eastAsia="Times New Roman" w:hAnsi="Arial" w:cs="Arial"/>
                <w:color w:val="000000"/>
                <w:sz w:val="20"/>
                <w:szCs w:val="20"/>
                <w:lang w:eastAsia="es-CO"/>
              </w:rPr>
              <w:t xml:space="preserve"> </w:t>
            </w:r>
            <w:r>
              <w:rPr>
                <w:rFonts w:ascii="Arial" w:eastAsia="Times New Roman" w:hAnsi="Arial" w:cs="Arial"/>
                <w:color w:val="000000"/>
                <w:sz w:val="20"/>
                <w:szCs w:val="20"/>
                <w:lang w:eastAsia="es-CO"/>
              </w:rPr>
              <w:t xml:space="preserve">aspectos relacionados con actuar bajo el principio de </w:t>
            </w:r>
            <w:r w:rsidRPr="00667AE7">
              <w:rPr>
                <w:rFonts w:ascii="Arial" w:eastAsia="Times New Roman" w:hAnsi="Arial" w:cs="Arial"/>
                <w:color w:val="000000"/>
                <w:sz w:val="20"/>
                <w:szCs w:val="20"/>
                <w:lang w:eastAsia="es-CO"/>
              </w:rPr>
              <w:t xml:space="preserve">confidencialidad. Se evidenció documento </w:t>
            </w:r>
            <w:r>
              <w:rPr>
                <w:rFonts w:ascii="Arial" w:eastAsia="Times New Roman" w:hAnsi="Arial" w:cs="Arial"/>
                <w:color w:val="000000"/>
                <w:sz w:val="20"/>
                <w:szCs w:val="20"/>
                <w:lang w:eastAsia="es-CO"/>
              </w:rPr>
              <w:t>Word</w:t>
            </w:r>
            <w:r w:rsidRPr="00667AE7">
              <w:rPr>
                <w:rFonts w:ascii="Arial" w:eastAsia="Times New Roman" w:hAnsi="Arial" w:cs="Arial"/>
                <w:color w:val="000000"/>
                <w:sz w:val="20"/>
                <w:szCs w:val="20"/>
                <w:lang w:eastAsia="es-CO"/>
              </w:rPr>
              <w:t xml:space="preserve"> que relaciona el cronograma de reuniones. </w:t>
            </w:r>
          </w:p>
        </w:tc>
        <w:tc>
          <w:tcPr>
            <w:tcW w:w="2514" w:type="dxa"/>
            <w:tcBorders>
              <w:top w:val="nil"/>
              <w:left w:val="nil"/>
              <w:bottom w:val="single" w:sz="4" w:space="0" w:color="auto"/>
              <w:right w:val="single" w:sz="4" w:space="0" w:color="auto"/>
            </w:tcBorders>
            <w:shd w:val="clear" w:color="000000" w:fill="FFFFFF"/>
            <w:vAlign w:val="center"/>
            <w:hideMark/>
          </w:tcPr>
          <w:p w14:paraId="081A30A6"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No se observaron novedades relacionadas con la ejecución del control durante </w:t>
            </w:r>
            <w:r>
              <w:rPr>
                <w:rFonts w:ascii="Arial" w:eastAsia="Times New Roman" w:hAnsi="Arial" w:cs="Arial"/>
                <w:color w:val="000000"/>
                <w:sz w:val="20"/>
                <w:szCs w:val="20"/>
                <w:lang w:eastAsia="es-CO"/>
              </w:rPr>
              <w:t xml:space="preserve">el </w:t>
            </w:r>
            <w:r w:rsidRPr="00667AE7">
              <w:rPr>
                <w:rFonts w:ascii="Arial" w:eastAsia="Times New Roman" w:hAnsi="Arial" w:cs="Arial"/>
                <w:color w:val="000000"/>
                <w:sz w:val="20"/>
                <w:szCs w:val="20"/>
                <w:lang w:eastAsia="es-CO"/>
              </w:rPr>
              <w:t>segundo cuatrimestre de la vigencia 2021.</w:t>
            </w:r>
          </w:p>
        </w:tc>
      </w:tr>
      <w:tr w:rsidR="00370A52" w:rsidRPr="00667AE7" w14:paraId="3C008054" w14:textId="77777777" w:rsidTr="00703C25">
        <w:trPr>
          <w:trHeight w:val="60"/>
        </w:trPr>
        <w:tc>
          <w:tcPr>
            <w:tcW w:w="5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9CCA92" w14:textId="77777777" w:rsidR="00370A52" w:rsidRPr="00667AE7" w:rsidRDefault="00370A52" w:rsidP="00667AE7">
            <w:pPr>
              <w:spacing w:after="0" w:line="240" w:lineRule="auto"/>
              <w:jc w:val="center"/>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8</w:t>
            </w:r>
          </w:p>
        </w:tc>
        <w:tc>
          <w:tcPr>
            <w:tcW w:w="2639" w:type="dxa"/>
            <w:tcBorders>
              <w:top w:val="nil"/>
              <w:left w:val="nil"/>
              <w:bottom w:val="single" w:sz="4" w:space="0" w:color="auto"/>
              <w:right w:val="single" w:sz="4" w:space="0" w:color="auto"/>
            </w:tcBorders>
            <w:shd w:val="clear" w:color="000000" w:fill="FFFFFF"/>
            <w:vAlign w:val="center"/>
            <w:hideMark/>
          </w:tcPr>
          <w:p w14:paraId="0D13F9D1"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Omitir situaciones irregulares de la gestión de la entidad, así como errores identificados en el desarrollo de las actividades de la Oficina de Control Interno.</w:t>
            </w: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6371EF"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R42 Omisión y/o modificación de la información de la entidad por parte de los funcionarios de la Oficina de Control Interno, suministrada al proceso Evaluación Independiente, con el fin de beneficiar a un tercero</w:t>
            </w:r>
          </w:p>
        </w:tc>
        <w:tc>
          <w:tcPr>
            <w:tcW w:w="17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16C1B4"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Retroalimentación entre los profesionales de la Oficina de Control Interno frente a nuevas normas e interpretación de las mismas.</w:t>
            </w:r>
          </w:p>
        </w:tc>
        <w:tc>
          <w:tcPr>
            <w:tcW w:w="20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11F51A" w14:textId="77777777" w:rsidR="00370A52"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El control establece su propósito para evitar la materialización del riesgo. </w:t>
            </w:r>
          </w:p>
          <w:p w14:paraId="6BF4B0B2"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2B9D18" w14:textId="77777777" w:rsidR="00370A52"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Se realiz</w:t>
            </w:r>
            <w:r>
              <w:rPr>
                <w:rFonts w:ascii="Arial" w:eastAsia="Times New Roman" w:hAnsi="Arial" w:cs="Arial"/>
                <w:color w:val="000000"/>
                <w:sz w:val="20"/>
                <w:szCs w:val="20"/>
                <w:lang w:eastAsia="es-CO"/>
              </w:rPr>
              <w:t>ó</w:t>
            </w:r>
            <w:r w:rsidRPr="00667AE7">
              <w:rPr>
                <w:rFonts w:ascii="Arial" w:eastAsia="Times New Roman" w:hAnsi="Arial" w:cs="Arial"/>
                <w:color w:val="000000"/>
                <w:sz w:val="20"/>
                <w:szCs w:val="20"/>
                <w:lang w:eastAsia="es-CO"/>
              </w:rPr>
              <w:t xml:space="preserve"> socialización de temas relevantes</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 xml:space="preserve">para la </w:t>
            </w:r>
            <w:r>
              <w:rPr>
                <w:rFonts w:ascii="Arial" w:eastAsia="Times New Roman" w:hAnsi="Arial" w:cs="Arial"/>
                <w:color w:val="000000"/>
                <w:sz w:val="20"/>
                <w:szCs w:val="20"/>
                <w:lang w:eastAsia="es-CO"/>
              </w:rPr>
              <w:t xml:space="preserve">OCI, </w:t>
            </w:r>
            <w:r w:rsidRPr="00667AE7">
              <w:rPr>
                <w:rFonts w:ascii="Arial" w:eastAsia="Times New Roman" w:hAnsi="Arial" w:cs="Arial"/>
                <w:color w:val="000000"/>
                <w:sz w:val="20"/>
                <w:szCs w:val="20"/>
                <w:lang w:eastAsia="es-CO"/>
              </w:rPr>
              <w:t>en las sesiones del REPAC.</w:t>
            </w:r>
          </w:p>
          <w:p w14:paraId="15366216"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br/>
              <w:t>Para el periodo del monitoreo no se realiz</w:t>
            </w:r>
            <w:r>
              <w:rPr>
                <w:rFonts w:ascii="Arial" w:eastAsia="Times New Roman" w:hAnsi="Arial" w:cs="Arial"/>
                <w:color w:val="000000"/>
                <w:sz w:val="20"/>
                <w:szCs w:val="20"/>
                <w:lang w:eastAsia="es-CO"/>
              </w:rPr>
              <w:t>ó</w:t>
            </w:r>
            <w:r w:rsidRPr="00667AE7">
              <w:rPr>
                <w:rFonts w:ascii="Arial" w:eastAsia="Times New Roman" w:hAnsi="Arial" w:cs="Arial"/>
                <w:color w:val="000000"/>
                <w:sz w:val="20"/>
                <w:szCs w:val="20"/>
                <w:lang w:eastAsia="es-CO"/>
              </w:rPr>
              <w:t xml:space="preserve"> análisis referente a nuevas normas, sin embargo</w:t>
            </w:r>
            <w:r>
              <w:rPr>
                <w:rFonts w:ascii="Arial" w:eastAsia="Times New Roman" w:hAnsi="Arial" w:cs="Arial"/>
                <w:color w:val="000000"/>
                <w:sz w:val="20"/>
                <w:szCs w:val="20"/>
                <w:lang w:eastAsia="es-CO"/>
              </w:rPr>
              <w:t>,</w:t>
            </w:r>
            <w:r w:rsidRPr="00667AE7">
              <w:rPr>
                <w:rFonts w:ascii="Arial" w:eastAsia="Times New Roman" w:hAnsi="Arial" w:cs="Arial"/>
                <w:color w:val="000000"/>
                <w:sz w:val="20"/>
                <w:szCs w:val="20"/>
                <w:lang w:eastAsia="es-CO"/>
              </w:rPr>
              <w:t xml:space="preserve"> en aras de fortalecer las capacidades de l</w:t>
            </w:r>
            <w:r>
              <w:rPr>
                <w:rFonts w:ascii="Arial" w:eastAsia="Times New Roman" w:hAnsi="Arial" w:cs="Arial"/>
                <w:color w:val="000000"/>
                <w:sz w:val="20"/>
                <w:szCs w:val="20"/>
                <w:lang w:eastAsia="es-CO"/>
              </w:rPr>
              <w:t>a</w:t>
            </w:r>
            <w:r w:rsidRPr="00667AE7">
              <w:rPr>
                <w:rFonts w:ascii="Arial" w:eastAsia="Times New Roman" w:hAnsi="Arial" w:cs="Arial"/>
                <w:color w:val="000000"/>
                <w:sz w:val="20"/>
                <w:szCs w:val="20"/>
                <w:lang w:eastAsia="es-CO"/>
              </w:rPr>
              <w:t>s auditor</w:t>
            </w:r>
            <w:r>
              <w:rPr>
                <w:rFonts w:ascii="Arial" w:eastAsia="Times New Roman" w:hAnsi="Arial" w:cs="Arial"/>
                <w:color w:val="000000"/>
                <w:sz w:val="20"/>
                <w:szCs w:val="20"/>
                <w:lang w:eastAsia="es-CO"/>
              </w:rPr>
              <w:t>a</w:t>
            </w:r>
            <w:r w:rsidRPr="00667AE7">
              <w:rPr>
                <w:rFonts w:ascii="Arial" w:eastAsia="Times New Roman" w:hAnsi="Arial" w:cs="Arial"/>
                <w:color w:val="000000"/>
                <w:sz w:val="20"/>
                <w:szCs w:val="20"/>
                <w:lang w:eastAsia="es-CO"/>
              </w:rPr>
              <w:t>s en el cuatrimestre</w:t>
            </w:r>
            <w:r>
              <w:rPr>
                <w:rFonts w:ascii="Arial" w:eastAsia="Times New Roman" w:hAnsi="Arial" w:cs="Arial"/>
                <w:color w:val="000000"/>
                <w:sz w:val="20"/>
                <w:szCs w:val="20"/>
                <w:lang w:eastAsia="es-CO"/>
              </w:rPr>
              <w:t>,</w:t>
            </w:r>
            <w:r w:rsidRPr="00667AE7">
              <w:rPr>
                <w:rFonts w:ascii="Arial" w:eastAsia="Times New Roman" w:hAnsi="Arial" w:cs="Arial"/>
                <w:color w:val="000000"/>
                <w:sz w:val="20"/>
                <w:szCs w:val="20"/>
                <w:lang w:eastAsia="es-CO"/>
              </w:rPr>
              <w:t xml:space="preserve"> durante las sesiones de R</w:t>
            </w:r>
            <w:r>
              <w:rPr>
                <w:rFonts w:ascii="Arial" w:eastAsia="Times New Roman" w:hAnsi="Arial" w:cs="Arial"/>
                <w:color w:val="000000"/>
                <w:sz w:val="20"/>
                <w:szCs w:val="20"/>
                <w:lang w:eastAsia="es-CO"/>
              </w:rPr>
              <w:t>EPAC</w:t>
            </w:r>
            <w:r w:rsidRPr="00667AE7">
              <w:rPr>
                <w:rFonts w:ascii="Arial" w:eastAsia="Times New Roman" w:hAnsi="Arial" w:cs="Arial"/>
                <w:color w:val="000000"/>
                <w:sz w:val="20"/>
                <w:szCs w:val="20"/>
                <w:lang w:eastAsia="es-CO"/>
              </w:rPr>
              <w:t xml:space="preserve"> se realizó la socialización de las dimensiones del Modelo Integrado de Planeación y Gestión </w:t>
            </w:r>
            <w:r>
              <w:rPr>
                <w:rFonts w:ascii="Arial" w:eastAsia="Times New Roman" w:hAnsi="Arial" w:cs="Arial"/>
                <w:color w:val="000000"/>
                <w:sz w:val="20"/>
                <w:szCs w:val="20"/>
                <w:lang w:eastAsia="es-CO"/>
              </w:rPr>
              <w:t xml:space="preserve">MIPG y su </w:t>
            </w:r>
            <w:r w:rsidRPr="00667AE7">
              <w:rPr>
                <w:rFonts w:ascii="Arial" w:eastAsia="Times New Roman" w:hAnsi="Arial" w:cs="Arial"/>
                <w:color w:val="000000"/>
                <w:sz w:val="20"/>
                <w:szCs w:val="20"/>
                <w:lang w:eastAsia="es-CO"/>
              </w:rPr>
              <w:t xml:space="preserve">aplicación en la </w:t>
            </w:r>
            <w:r>
              <w:rPr>
                <w:rFonts w:ascii="Arial" w:eastAsia="Times New Roman" w:hAnsi="Arial" w:cs="Arial"/>
                <w:color w:val="000000"/>
                <w:sz w:val="20"/>
                <w:szCs w:val="20"/>
                <w:lang w:eastAsia="es-CO"/>
              </w:rPr>
              <w:t>E</w:t>
            </w:r>
            <w:r w:rsidRPr="00667AE7">
              <w:rPr>
                <w:rFonts w:ascii="Arial" w:eastAsia="Times New Roman" w:hAnsi="Arial" w:cs="Arial"/>
                <w:color w:val="000000"/>
                <w:sz w:val="20"/>
                <w:szCs w:val="20"/>
                <w:lang w:eastAsia="es-CO"/>
              </w:rPr>
              <w:t>ntidad.</w:t>
            </w:r>
          </w:p>
        </w:tc>
        <w:tc>
          <w:tcPr>
            <w:tcW w:w="25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5D9A97"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No se observaron novedades relacionadas con la ejecución del control durante </w:t>
            </w:r>
            <w:r>
              <w:rPr>
                <w:rFonts w:ascii="Arial" w:eastAsia="Times New Roman" w:hAnsi="Arial" w:cs="Arial"/>
                <w:color w:val="000000"/>
                <w:sz w:val="20"/>
                <w:szCs w:val="20"/>
                <w:lang w:eastAsia="es-CO"/>
              </w:rPr>
              <w:t xml:space="preserve">el </w:t>
            </w:r>
            <w:r w:rsidRPr="00667AE7">
              <w:rPr>
                <w:rFonts w:ascii="Arial" w:eastAsia="Times New Roman" w:hAnsi="Arial" w:cs="Arial"/>
                <w:color w:val="000000"/>
                <w:sz w:val="20"/>
                <w:szCs w:val="20"/>
                <w:lang w:eastAsia="es-CO"/>
              </w:rPr>
              <w:t>segundo cuatrimestre de la vigencia 2021.</w:t>
            </w:r>
          </w:p>
        </w:tc>
      </w:tr>
      <w:tr w:rsidR="00370A52" w:rsidRPr="00667AE7" w14:paraId="1560C24F" w14:textId="77777777" w:rsidTr="00667AE7">
        <w:trPr>
          <w:trHeight w:val="510"/>
        </w:trPr>
        <w:tc>
          <w:tcPr>
            <w:tcW w:w="557" w:type="dxa"/>
            <w:vMerge/>
            <w:tcBorders>
              <w:top w:val="nil"/>
              <w:left w:val="single" w:sz="4" w:space="0" w:color="auto"/>
              <w:bottom w:val="single" w:sz="4" w:space="0" w:color="auto"/>
              <w:right w:val="single" w:sz="4" w:space="0" w:color="auto"/>
            </w:tcBorders>
            <w:vAlign w:val="center"/>
            <w:hideMark/>
          </w:tcPr>
          <w:p w14:paraId="7A47D873" w14:textId="77777777" w:rsidR="00370A52" w:rsidRPr="00667AE7" w:rsidRDefault="00370A52" w:rsidP="00667AE7">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3147ADFD"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Alterar evidencias durante el desarrollo de las actividades de la Oficina de Control Interno, para favorecer o desfavorecer a un tercero. </w:t>
            </w:r>
          </w:p>
        </w:tc>
        <w:tc>
          <w:tcPr>
            <w:tcW w:w="2586" w:type="dxa"/>
            <w:vMerge/>
            <w:tcBorders>
              <w:top w:val="nil"/>
              <w:left w:val="single" w:sz="4" w:space="0" w:color="auto"/>
              <w:bottom w:val="single" w:sz="4" w:space="0" w:color="auto"/>
              <w:right w:val="single" w:sz="4" w:space="0" w:color="auto"/>
            </w:tcBorders>
            <w:vAlign w:val="center"/>
            <w:hideMark/>
          </w:tcPr>
          <w:p w14:paraId="25EA8047"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1764" w:type="dxa"/>
            <w:vMerge/>
            <w:tcBorders>
              <w:top w:val="nil"/>
              <w:left w:val="single" w:sz="4" w:space="0" w:color="auto"/>
              <w:bottom w:val="single" w:sz="4" w:space="0" w:color="000000"/>
              <w:right w:val="single" w:sz="4" w:space="0" w:color="auto"/>
            </w:tcBorders>
            <w:vAlign w:val="center"/>
            <w:hideMark/>
          </w:tcPr>
          <w:p w14:paraId="3047F491"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2094" w:type="dxa"/>
            <w:vMerge/>
            <w:tcBorders>
              <w:top w:val="nil"/>
              <w:left w:val="single" w:sz="4" w:space="0" w:color="auto"/>
              <w:bottom w:val="single" w:sz="4" w:space="0" w:color="000000"/>
              <w:right w:val="single" w:sz="4" w:space="0" w:color="auto"/>
            </w:tcBorders>
            <w:vAlign w:val="center"/>
            <w:hideMark/>
          </w:tcPr>
          <w:p w14:paraId="537E312C"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3440" w:type="dxa"/>
            <w:vMerge/>
            <w:tcBorders>
              <w:top w:val="nil"/>
              <w:left w:val="single" w:sz="4" w:space="0" w:color="auto"/>
              <w:bottom w:val="single" w:sz="4" w:space="0" w:color="000000"/>
              <w:right w:val="single" w:sz="4" w:space="0" w:color="auto"/>
            </w:tcBorders>
            <w:vAlign w:val="center"/>
            <w:hideMark/>
          </w:tcPr>
          <w:p w14:paraId="2B313E4D"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2514" w:type="dxa"/>
            <w:vMerge/>
            <w:tcBorders>
              <w:top w:val="nil"/>
              <w:left w:val="single" w:sz="4" w:space="0" w:color="auto"/>
              <w:bottom w:val="single" w:sz="4" w:space="0" w:color="000000"/>
              <w:right w:val="single" w:sz="4" w:space="0" w:color="auto"/>
            </w:tcBorders>
            <w:vAlign w:val="center"/>
            <w:hideMark/>
          </w:tcPr>
          <w:p w14:paraId="1B2FD73B"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r>
      <w:tr w:rsidR="00370A52" w:rsidRPr="00667AE7" w14:paraId="07FC67A1" w14:textId="77777777" w:rsidTr="00667AE7">
        <w:trPr>
          <w:trHeight w:val="1615"/>
        </w:trPr>
        <w:tc>
          <w:tcPr>
            <w:tcW w:w="557" w:type="dxa"/>
            <w:vMerge/>
            <w:tcBorders>
              <w:top w:val="nil"/>
              <w:left w:val="single" w:sz="4" w:space="0" w:color="auto"/>
              <w:bottom w:val="single" w:sz="4" w:space="0" w:color="auto"/>
              <w:right w:val="single" w:sz="4" w:space="0" w:color="auto"/>
            </w:tcBorders>
            <w:vAlign w:val="center"/>
            <w:hideMark/>
          </w:tcPr>
          <w:p w14:paraId="3C0B1C4D" w14:textId="77777777" w:rsidR="00370A52" w:rsidRPr="00667AE7" w:rsidRDefault="00370A52" w:rsidP="00667AE7">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11499A61"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Recibir sobornos o amenazas con el fin de no realizar determinadas actividades a cargo de la Oficina de Control Interno</w:t>
            </w:r>
          </w:p>
        </w:tc>
        <w:tc>
          <w:tcPr>
            <w:tcW w:w="2586" w:type="dxa"/>
            <w:vMerge/>
            <w:tcBorders>
              <w:top w:val="nil"/>
              <w:left w:val="single" w:sz="4" w:space="0" w:color="auto"/>
              <w:bottom w:val="single" w:sz="4" w:space="0" w:color="auto"/>
              <w:right w:val="single" w:sz="4" w:space="0" w:color="auto"/>
            </w:tcBorders>
            <w:vAlign w:val="center"/>
            <w:hideMark/>
          </w:tcPr>
          <w:p w14:paraId="4FB43E00"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17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BB59C5"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Aplicar lo establecido en el Estatuto de Auditoría Interna y El Código de Ética de los Auditores de la Oficina de Control Interno</w:t>
            </w:r>
          </w:p>
        </w:tc>
        <w:tc>
          <w:tcPr>
            <w:tcW w:w="20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6FB741" w14:textId="77777777" w:rsidR="00370A52"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El control establece su propósito para evitar la materialización del riesgo. </w:t>
            </w:r>
          </w:p>
          <w:p w14:paraId="5ED6068A"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C5B260"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El líder del proceso realiz</w:t>
            </w:r>
            <w:r>
              <w:rPr>
                <w:rFonts w:ascii="Arial" w:eastAsia="Times New Roman" w:hAnsi="Arial" w:cs="Arial"/>
                <w:color w:val="000000"/>
                <w:sz w:val="20"/>
                <w:szCs w:val="20"/>
                <w:lang w:eastAsia="es-CO"/>
              </w:rPr>
              <w:t>ó</w:t>
            </w:r>
            <w:r w:rsidRPr="00667AE7">
              <w:rPr>
                <w:rFonts w:ascii="Arial" w:eastAsia="Times New Roman" w:hAnsi="Arial" w:cs="Arial"/>
                <w:color w:val="000000"/>
                <w:sz w:val="20"/>
                <w:szCs w:val="20"/>
                <w:lang w:eastAsia="es-CO"/>
              </w:rPr>
              <w:t xml:space="preserve"> la revisión y control del desempeño de l</w:t>
            </w:r>
            <w:r>
              <w:rPr>
                <w:rFonts w:ascii="Arial" w:eastAsia="Times New Roman" w:hAnsi="Arial" w:cs="Arial"/>
                <w:color w:val="000000"/>
                <w:sz w:val="20"/>
                <w:szCs w:val="20"/>
                <w:lang w:eastAsia="es-CO"/>
              </w:rPr>
              <w:t>a</w:t>
            </w:r>
            <w:r w:rsidRPr="00667AE7">
              <w:rPr>
                <w:rFonts w:ascii="Arial" w:eastAsia="Times New Roman" w:hAnsi="Arial" w:cs="Arial"/>
                <w:color w:val="000000"/>
                <w:sz w:val="20"/>
                <w:szCs w:val="20"/>
                <w:lang w:eastAsia="es-CO"/>
              </w:rPr>
              <w:t>s profesionales durante las diferentes fases que comprende el proceso de auditoría, con el fin de determinar las mejoras y/o ajustes a que haya lugar, previo a la comunicación final de los resultados a los auditados.</w:t>
            </w:r>
            <w:r w:rsidRPr="00667AE7">
              <w:rPr>
                <w:rFonts w:ascii="Arial" w:eastAsia="Times New Roman" w:hAnsi="Arial" w:cs="Arial"/>
                <w:color w:val="000000"/>
                <w:sz w:val="20"/>
                <w:szCs w:val="20"/>
                <w:lang w:eastAsia="es-CO"/>
              </w:rPr>
              <w:br/>
              <w:t>Se realiz</w:t>
            </w:r>
            <w:r>
              <w:rPr>
                <w:rFonts w:ascii="Arial" w:eastAsia="Times New Roman" w:hAnsi="Arial" w:cs="Arial"/>
                <w:color w:val="000000"/>
                <w:sz w:val="20"/>
                <w:szCs w:val="20"/>
                <w:lang w:eastAsia="es-CO"/>
              </w:rPr>
              <w:t>ó</w:t>
            </w:r>
            <w:r w:rsidRPr="00667AE7">
              <w:rPr>
                <w:rFonts w:ascii="Arial" w:eastAsia="Times New Roman" w:hAnsi="Arial" w:cs="Arial"/>
                <w:color w:val="000000"/>
                <w:sz w:val="20"/>
                <w:szCs w:val="20"/>
                <w:lang w:eastAsia="es-CO"/>
              </w:rPr>
              <w:t xml:space="preserve"> la actualización</w:t>
            </w:r>
            <w:r>
              <w:rPr>
                <w:rFonts w:ascii="Arial" w:eastAsia="Times New Roman" w:hAnsi="Arial" w:cs="Arial"/>
                <w:color w:val="000000"/>
                <w:sz w:val="20"/>
                <w:szCs w:val="20"/>
                <w:lang w:eastAsia="es-CO"/>
              </w:rPr>
              <w:t xml:space="preserve"> del </w:t>
            </w:r>
            <w:r w:rsidRPr="00667AE7">
              <w:rPr>
                <w:rFonts w:ascii="Arial" w:eastAsia="Times New Roman" w:hAnsi="Arial" w:cs="Arial"/>
                <w:color w:val="000000"/>
                <w:sz w:val="20"/>
                <w:szCs w:val="20"/>
                <w:lang w:eastAsia="es-CO"/>
              </w:rPr>
              <w:t xml:space="preserve"> </w:t>
            </w:r>
            <w:r>
              <w:rPr>
                <w:rFonts w:ascii="Arial" w:eastAsia="Times New Roman" w:hAnsi="Arial" w:cs="Arial"/>
                <w:color w:val="000000"/>
                <w:sz w:val="20"/>
                <w:szCs w:val="20"/>
                <w:lang w:eastAsia="es-CO"/>
              </w:rPr>
              <w:t>E</w:t>
            </w:r>
            <w:r w:rsidRPr="00667AE7">
              <w:rPr>
                <w:rFonts w:ascii="Arial" w:eastAsia="Times New Roman" w:hAnsi="Arial" w:cs="Arial"/>
                <w:color w:val="000000"/>
                <w:sz w:val="20"/>
                <w:szCs w:val="20"/>
                <w:lang w:eastAsia="es-CO"/>
              </w:rPr>
              <w:t xml:space="preserve">statuto de </w:t>
            </w:r>
            <w:r>
              <w:rPr>
                <w:rFonts w:ascii="Arial" w:eastAsia="Times New Roman" w:hAnsi="Arial" w:cs="Arial"/>
                <w:color w:val="000000"/>
                <w:sz w:val="20"/>
                <w:szCs w:val="20"/>
                <w:lang w:eastAsia="es-CO"/>
              </w:rPr>
              <w:t>A</w:t>
            </w:r>
            <w:r w:rsidRPr="00667AE7">
              <w:rPr>
                <w:rFonts w:ascii="Arial" w:eastAsia="Times New Roman" w:hAnsi="Arial" w:cs="Arial"/>
                <w:color w:val="000000"/>
                <w:sz w:val="20"/>
                <w:szCs w:val="20"/>
                <w:lang w:eastAsia="es-CO"/>
              </w:rPr>
              <w:t xml:space="preserve">uditoría de acuerdo </w:t>
            </w:r>
            <w:r>
              <w:rPr>
                <w:rFonts w:ascii="Arial" w:eastAsia="Times New Roman" w:hAnsi="Arial" w:cs="Arial"/>
                <w:color w:val="000000"/>
                <w:sz w:val="20"/>
                <w:szCs w:val="20"/>
                <w:lang w:eastAsia="es-CO"/>
              </w:rPr>
              <w:t>con</w:t>
            </w:r>
            <w:r w:rsidRPr="00667AE7">
              <w:rPr>
                <w:rFonts w:ascii="Arial" w:eastAsia="Times New Roman" w:hAnsi="Arial" w:cs="Arial"/>
                <w:color w:val="000000"/>
                <w:sz w:val="20"/>
                <w:szCs w:val="20"/>
                <w:lang w:eastAsia="es-CO"/>
              </w:rPr>
              <w:t xml:space="preserve"> lo </w:t>
            </w:r>
            <w:r>
              <w:rPr>
                <w:rFonts w:ascii="Arial" w:eastAsia="Times New Roman" w:hAnsi="Arial" w:cs="Arial"/>
                <w:color w:val="000000"/>
                <w:sz w:val="20"/>
                <w:szCs w:val="20"/>
                <w:lang w:eastAsia="es-CO"/>
              </w:rPr>
              <w:t xml:space="preserve">acordado </w:t>
            </w:r>
            <w:r w:rsidRPr="00667AE7">
              <w:rPr>
                <w:rFonts w:ascii="Arial" w:eastAsia="Times New Roman" w:hAnsi="Arial" w:cs="Arial"/>
                <w:color w:val="000000"/>
                <w:sz w:val="20"/>
                <w:szCs w:val="20"/>
                <w:lang w:eastAsia="es-CO"/>
              </w:rPr>
              <w:t xml:space="preserve">en </w:t>
            </w:r>
            <w:r>
              <w:rPr>
                <w:rFonts w:ascii="Arial" w:eastAsia="Times New Roman" w:hAnsi="Arial" w:cs="Arial"/>
                <w:color w:val="000000"/>
                <w:sz w:val="20"/>
                <w:szCs w:val="20"/>
                <w:lang w:eastAsia="es-CO"/>
              </w:rPr>
              <w:t xml:space="preserve">la </w:t>
            </w:r>
            <w:r w:rsidRPr="00667AE7">
              <w:rPr>
                <w:rFonts w:ascii="Arial" w:eastAsia="Times New Roman" w:hAnsi="Arial" w:cs="Arial"/>
                <w:color w:val="000000"/>
                <w:sz w:val="20"/>
                <w:szCs w:val="20"/>
                <w:lang w:eastAsia="es-CO"/>
              </w:rPr>
              <w:t xml:space="preserve">sesión de Comité Institucional de Coordinación de Control Interno </w:t>
            </w:r>
            <w:r>
              <w:rPr>
                <w:rFonts w:ascii="Arial" w:eastAsia="Times New Roman" w:hAnsi="Arial" w:cs="Arial"/>
                <w:color w:val="000000"/>
                <w:sz w:val="20"/>
                <w:szCs w:val="20"/>
                <w:lang w:eastAsia="es-CO"/>
              </w:rPr>
              <w:t xml:space="preserve">CICCI que se realizó </w:t>
            </w:r>
            <w:r w:rsidRPr="00667AE7">
              <w:rPr>
                <w:rFonts w:ascii="Arial" w:eastAsia="Times New Roman" w:hAnsi="Arial" w:cs="Arial"/>
                <w:color w:val="000000"/>
                <w:sz w:val="20"/>
                <w:szCs w:val="20"/>
                <w:lang w:eastAsia="es-CO"/>
              </w:rPr>
              <w:t>del 20</w:t>
            </w:r>
            <w:r>
              <w:rPr>
                <w:rFonts w:ascii="Arial" w:eastAsia="Times New Roman" w:hAnsi="Arial" w:cs="Arial"/>
                <w:color w:val="000000"/>
                <w:sz w:val="20"/>
                <w:szCs w:val="20"/>
                <w:lang w:eastAsia="es-CO"/>
              </w:rPr>
              <w:t xml:space="preserve"> al </w:t>
            </w:r>
            <w:r w:rsidRPr="00667AE7">
              <w:rPr>
                <w:rFonts w:ascii="Arial" w:eastAsia="Times New Roman" w:hAnsi="Arial" w:cs="Arial"/>
                <w:color w:val="000000"/>
                <w:sz w:val="20"/>
                <w:szCs w:val="20"/>
                <w:lang w:eastAsia="es-CO"/>
              </w:rPr>
              <w:t xml:space="preserve">24 de mayo </w:t>
            </w:r>
            <w:r>
              <w:rPr>
                <w:rFonts w:ascii="Arial" w:eastAsia="Times New Roman" w:hAnsi="Arial" w:cs="Arial"/>
                <w:color w:val="000000"/>
                <w:sz w:val="20"/>
                <w:szCs w:val="20"/>
                <w:lang w:eastAsia="es-CO"/>
              </w:rPr>
              <w:t xml:space="preserve">de 2021. </w:t>
            </w:r>
          </w:p>
        </w:tc>
        <w:tc>
          <w:tcPr>
            <w:tcW w:w="25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58E956"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segundo cuatrimestre de la vigencia 2021.</w:t>
            </w:r>
          </w:p>
        </w:tc>
      </w:tr>
      <w:tr w:rsidR="00370A52" w:rsidRPr="00667AE7" w14:paraId="64B23BB9" w14:textId="77777777" w:rsidTr="00667AE7">
        <w:trPr>
          <w:trHeight w:val="1151"/>
        </w:trPr>
        <w:tc>
          <w:tcPr>
            <w:tcW w:w="557" w:type="dxa"/>
            <w:vMerge/>
            <w:tcBorders>
              <w:top w:val="nil"/>
              <w:left w:val="single" w:sz="4" w:space="0" w:color="auto"/>
              <w:bottom w:val="single" w:sz="4" w:space="0" w:color="auto"/>
              <w:right w:val="single" w:sz="4" w:space="0" w:color="auto"/>
            </w:tcBorders>
            <w:vAlign w:val="center"/>
            <w:hideMark/>
          </w:tcPr>
          <w:p w14:paraId="792047BA" w14:textId="77777777" w:rsidR="00370A52" w:rsidRPr="00667AE7" w:rsidRDefault="00370A52" w:rsidP="00667AE7">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666CAC45"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No poseer la independencia requerida para el desarrollo de las actividades de la Oficina de Control Interno.</w:t>
            </w:r>
          </w:p>
        </w:tc>
        <w:tc>
          <w:tcPr>
            <w:tcW w:w="2586" w:type="dxa"/>
            <w:vMerge/>
            <w:tcBorders>
              <w:top w:val="nil"/>
              <w:left w:val="single" w:sz="4" w:space="0" w:color="auto"/>
              <w:bottom w:val="single" w:sz="4" w:space="0" w:color="auto"/>
              <w:right w:val="single" w:sz="4" w:space="0" w:color="auto"/>
            </w:tcBorders>
            <w:vAlign w:val="center"/>
            <w:hideMark/>
          </w:tcPr>
          <w:p w14:paraId="7219BD16"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1764" w:type="dxa"/>
            <w:vMerge/>
            <w:tcBorders>
              <w:top w:val="nil"/>
              <w:left w:val="single" w:sz="4" w:space="0" w:color="auto"/>
              <w:bottom w:val="single" w:sz="4" w:space="0" w:color="000000"/>
              <w:right w:val="single" w:sz="4" w:space="0" w:color="auto"/>
            </w:tcBorders>
            <w:vAlign w:val="center"/>
            <w:hideMark/>
          </w:tcPr>
          <w:p w14:paraId="6077F604"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2094" w:type="dxa"/>
            <w:vMerge/>
            <w:tcBorders>
              <w:top w:val="nil"/>
              <w:left w:val="single" w:sz="4" w:space="0" w:color="auto"/>
              <w:bottom w:val="single" w:sz="4" w:space="0" w:color="000000"/>
              <w:right w:val="single" w:sz="4" w:space="0" w:color="auto"/>
            </w:tcBorders>
            <w:vAlign w:val="center"/>
            <w:hideMark/>
          </w:tcPr>
          <w:p w14:paraId="7525EF8F"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3440" w:type="dxa"/>
            <w:vMerge/>
            <w:tcBorders>
              <w:top w:val="nil"/>
              <w:left w:val="single" w:sz="4" w:space="0" w:color="auto"/>
              <w:bottom w:val="single" w:sz="4" w:space="0" w:color="000000"/>
              <w:right w:val="single" w:sz="4" w:space="0" w:color="auto"/>
            </w:tcBorders>
            <w:vAlign w:val="center"/>
            <w:hideMark/>
          </w:tcPr>
          <w:p w14:paraId="4B6447AC"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2514" w:type="dxa"/>
            <w:vMerge/>
            <w:tcBorders>
              <w:top w:val="nil"/>
              <w:left w:val="single" w:sz="4" w:space="0" w:color="auto"/>
              <w:bottom w:val="single" w:sz="4" w:space="0" w:color="000000"/>
              <w:right w:val="single" w:sz="4" w:space="0" w:color="auto"/>
            </w:tcBorders>
            <w:vAlign w:val="center"/>
            <w:hideMark/>
          </w:tcPr>
          <w:p w14:paraId="611E5BBD"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r>
      <w:tr w:rsidR="00370A52" w:rsidRPr="00667AE7" w14:paraId="468CC79A" w14:textId="77777777" w:rsidTr="00667AE7">
        <w:trPr>
          <w:trHeight w:val="1504"/>
        </w:trPr>
        <w:tc>
          <w:tcPr>
            <w:tcW w:w="557" w:type="dxa"/>
            <w:vMerge/>
            <w:tcBorders>
              <w:top w:val="nil"/>
              <w:left w:val="single" w:sz="4" w:space="0" w:color="auto"/>
              <w:bottom w:val="single" w:sz="4" w:space="0" w:color="auto"/>
              <w:right w:val="single" w:sz="4" w:space="0" w:color="auto"/>
            </w:tcBorders>
            <w:vAlign w:val="center"/>
            <w:hideMark/>
          </w:tcPr>
          <w:p w14:paraId="24AA0EC9" w14:textId="77777777" w:rsidR="00370A52" w:rsidRPr="00667AE7" w:rsidRDefault="00370A52" w:rsidP="00667AE7">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2B06020C"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Falta de ética y objetividad por parte de los profesionales de la Oficina de Control Interno</w:t>
            </w:r>
          </w:p>
        </w:tc>
        <w:tc>
          <w:tcPr>
            <w:tcW w:w="2586" w:type="dxa"/>
            <w:vMerge/>
            <w:tcBorders>
              <w:top w:val="nil"/>
              <w:left w:val="single" w:sz="4" w:space="0" w:color="auto"/>
              <w:bottom w:val="single" w:sz="4" w:space="0" w:color="auto"/>
              <w:right w:val="single" w:sz="4" w:space="0" w:color="auto"/>
            </w:tcBorders>
            <w:vAlign w:val="center"/>
            <w:hideMark/>
          </w:tcPr>
          <w:p w14:paraId="208955B6"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1764" w:type="dxa"/>
            <w:tcBorders>
              <w:top w:val="nil"/>
              <w:left w:val="nil"/>
              <w:bottom w:val="single" w:sz="4" w:space="0" w:color="auto"/>
              <w:right w:val="single" w:sz="4" w:space="0" w:color="auto"/>
            </w:tcBorders>
            <w:shd w:val="clear" w:color="000000" w:fill="FFFFFF"/>
            <w:vAlign w:val="center"/>
            <w:hideMark/>
          </w:tcPr>
          <w:p w14:paraId="4FA9E84E"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Segregación de Funciones</w:t>
            </w:r>
          </w:p>
        </w:tc>
        <w:tc>
          <w:tcPr>
            <w:tcW w:w="2094" w:type="dxa"/>
            <w:tcBorders>
              <w:top w:val="nil"/>
              <w:left w:val="nil"/>
              <w:bottom w:val="single" w:sz="4" w:space="0" w:color="auto"/>
              <w:right w:val="single" w:sz="4" w:space="0" w:color="auto"/>
            </w:tcBorders>
            <w:shd w:val="clear" w:color="000000" w:fill="FFFFFF"/>
            <w:vAlign w:val="center"/>
            <w:hideMark/>
          </w:tcPr>
          <w:p w14:paraId="4441D339" w14:textId="77777777" w:rsidR="00370A52"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El control establece su propósito para evitar la materialización del riesgo. </w:t>
            </w:r>
          </w:p>
          <w:p w14:paraId="2C511836"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tcBorders>
              <w:top w:val="nil"/>
              <w:left w:val="nil"/>
              <w:bottom w:val="single" w:sz="4" w:space="0" w:color="auto"/>
              <w:right w:val="single" w:sz="4" w:space="0" w:color="auto"/>
            </w:tcBorders>
            <w:shd w:val="clear" w:color="000000" w:fill="FFFFFF"/>
            <w:vAlign w:val="center"/>
            <w:hideMark/>
          </w:tcPr>
          <w:p w14:paraId="3E1A95AD"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El líder del proceso realiz</w:t>
            </w:r>
            <w:r>
              <w:rPr>
                <w:rFonts w:ascii="Arial" w:eastAsia="Times New Roman" w:hAnsi="Arial" w:cs="Arial"/>
                <w:color w:val="000000"/>
                <w:sz w:val="20"/>
                <w:szCs w:val="20"/>
                <w:lang w:eastAsia="es-CO"/>
              </w:rPr>
              <w:t>ó</w:t>
            </w:r>
            <w:r w:rsidRPr="00667AE7">
              <w:rPr>
                <w:rFonts w:ascii="Arial" w:eastAsia="Times New Roman" w:hAnsi="Arial" w:cs="Arial"/>
                <w:color w:val="000000"/>
                <w:sz w:val="20"/>
                <w:szCs w:val="20"/>
                <w:lang w:eastAsia="es-CO"/>
              </w:rPr>
              <w:t xml:space="preserve"> la revisión y control del desempeño de los profesionales durante las diferentes fases que comprende el proceso de auditoría, con el fin de determinar las mejoras y/o ajustes a que haya lugar, previo a la comunicación final de los resultados a los auditados.</w:t>
            </w:r>
          </w:p>
        </w:tc>
        <w:tc>
          <w:tcPr>
            <w:tcW w:w="2514" w:type="dxa"/>
            <w:tcBorders>
              <w:top w:val="nil"/>
              <w:left w:val="nil"/>
              <w:bottom w:val="single" w:sz="4" w:space="0" w:color="auto"/>
              <w:right w:val="single" w:sz="4" w:space="0" w:color="auto"/>
            </w:tcBorders>
            <w:shd w:val="clear" w:color="000000" w:fill="FFFFFF"/>
            <w:vAlign w:val="center"/>
            <w:hideMark/>
          </w:tcPr>
          <w:p w14:paraId="1CECE152"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segundo cuatrimestre de la vigencia 2021.</w:t>
            </w:r>
          </w:p>
        </w:tc>
      </w:tr>
      <w:tr w:rsidR="00370A52" w:rsidRPr="00667AE7" w14:paraId="75E66624" w14:textId="77777777" w:rsidTr="00667AE7">
        <w:trPr>
          <w:trHeight w:val="482"/>
        </w:trPr>
        <w:tc>
          <w:tcPr>
            <w:tcW w:w="5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D23D5B" w14:textId="77777777" w:rsidR="00370A52" w:rsidRPr="00667AE7" w:rsidRDefault="00370A52" w:rsidP="00667AE7">
            <w:pPr>
              <w:spacing w:after="0" w:line="240" w:lineRule="auto"/>
              <w:jc w:val="center"/>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9</w:t>
            </w:r>
          </w:p>
        </w:tc>
        <w:tc>
          <w:tcPr>
            <w:tcW w:w="2639" w:type="dxa"/>
            <w:tcBorders>
              <w:top w:val="nil"/>
              <w:left w:val="nil"/>
              <w:bottom w:val="single" w:sz="4" w:space="0" w:color="auto"/>
              <w:right w:val="single" w:sz="4" w:space="0" w:color="auto"/>
            </w:tcBorders>
            <w:shd w:val="clear" w:color="000000" w:fill="FFFFFF"/>
            <w:vAlign w:val="center"/>
            <w:hideMark/>
          </w:tcPr>
          <w:p w14:paraId="1988A0CE"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Durante el proceso de elaboración de los cruces de cuentas, en donde se reflejan los pagos efectuados del pasivo por parte de la Institución Hospitalaria o Entidad Territorial se alteren los valores de la deuda, o se incluyan personas sin derecho al reconocimiento del pasivo.</w:t>
            </w: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8DC306"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R43 Información y/o documentación relevante para la suscripción de los contratos de concurrencia ocultada y/o adulterada.</w:t>
            </w:r>
          </w:p>
        </w:tc>
        <w:tc>
          <w:tcPr>
            <w:tcW w:w="17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7F7BE5"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Desagregación de actividades</w:t>
            </w:r>
          </w:p>
        </w:tc>
        <w:tc>
          <w:tcPr>
            <w:tcW w:w="20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C0DB4E" w14:textId="77777777" w:rsidR="00370A52"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El control establece su propósito para evitar la materialización del riesgo. </w:t>
            </w:r>
          </w:p>
          <w:p w14:paraId="70AA1460"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DCAD4C"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De acuerdo con lo manifestado por</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 xml:space="preserve">el </w:t>
            </w:r>
            <w:r>
              <w:rPr>
                <w:rFonts w:ascii="Arial" w:eastAsia="Times New Roman" w:hAnsi="Arial" w:cs="Arial"/>
                <w:color w:val="000000"/>
                <w:sz w:val="20"/>
                <w:szCs w:val="20"/>
                <w:lang w:eastAsia="es-CO"/>
              </w:rPr>
              <w:t xml:space="preserve">proceso </w:t>
            </w:r>
            <w:r w:rsidRPr="00667AE7">
              <w:rPr>
                <w:rFonts w:ascii="Arial" w:eastAsia="Times New Roman" w:hAnsi="Arial" w:cs="Arial"/>
                <w:color w:val="000000"/>
                <w:sz w:val="20"/>
                <w:szCs w:val="20"/>
                <w:lang w:eastAsia="es-CO"/>
              </w:rPr>
              <w:t xml:space="preserve">en el SMGI, durante el segundo cuatrimestre de 2021 se suscribió un contrato de concurrencia, el cual, para su formulación contó con la participación de diferentes actores garantizando de este modo la segregación de funciones. Se evidenciaron soportes relacionados </w:t>
            </w:r>
            <w:r>
              <w:rPr>
                <w:rFonts w:ascii="Arial" w:eastAsia="Times New Roman" w:hAnsi="Arial" w:cs="Arial"/>
                <w:color w:val="000000"/>
                <w:sz w:val="20"/>
                <w:szCs w:val="20"/>
                <w:lang w:eastAsia="es-CO"/>
              </w:rPr>
              <w:t xml:space="preserve">la ejecución de actividades de revisión por parte de los </w:t>
            </w:r>
            <w:r w:rsidRPr="00667AE7">
              <w:rPr>
                <w:rFonts w:ascii="Arial" w:eastAsia="Times New Roman" w:hAnsi="Arial" w:cs="Arial"/>
                <w:color w:val="000000"/>
                <w:sz w:val="20"/>
                <w:szCs w:val="20"/>
                <w:lang w:eastAsia="es-CO"/>
              </w:rPr>
              <w:t xml:space="preserve">involucrados. </w:t>
            </w:r>
          </w:p>
        </w:tc>
        <w:tc>
          <w:tcPr>
            <w:tcW w:w="25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F5F5E1" w14:textId="44B46333" w:rsidR="0066083E" w:rsidRPr="008D0365" w:rsidRDefault="005E746A" w:rsidP="0066083E">
            <w:pPr>
              <w:spacing w:after="0" w:line="240" w:lineRule="auto"/>
              <w:jc w:val="both"/>
              <w:rPr>
                <w:rFonts w:ascii="Arial" w:eastAsia="Times New Roman" w:hAnsi="Arial" w:cs="Arial"/>
                <w:i/>
                <w:color w:val="000000"/>
                <w:sz w:val="16"/>
                <w:szCs w:val="20"/>
                <w:lang w:eastAsia="es-CO"/>
              </w:rPr>
            </w:pPr>
            <w:r w:rsidRPr="00667AE7">
              <w:rPr>
                <w:rFonts w:ascii="Arial" w:eastAsia="Times New Roman" w:hAnsi="Arial" w:cs="Arial"/>
                <w:color w:val="000000"/>
                <w:sz w:val="20"/>
                <w:szCs w:val="20"/>
                <w:lang w:eastAsia="es-CO"/>
              </w:rPr>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segundo cuatrimestre de la vigencia 2021.</w:t>
            </w:r>
          </w:p>
        </w:tc>
      </w:tr>
      <w:tr w:rsidR="00370A52" w:rsidRPr="00667AE7" w14:paraId="0D12458C" w14:textId="77777777" w:rsidTr="00667AE7">
        <w:trPr>
          <w:trHeight w:val="198"/>
        </w:trPr>
        <w:tc>
          <w:tcPr>
            <w:tcW w:w="557" w:type="dxa"/>
            <w:vMerge/>
            <w:tcBorders>
              <w:top w:val="nil"/>
              <w:left w:val="single" w:sz="4" w:space="0" w:color="auto"/>
              <w:bottom w:val="single" w:sz="4" w:space="0" w:color="auto"/>
              <w:right w:val="single" w:sz="4" w:space="0" w:color="auto"/>
            </w:tcBorders>
            <w:vAlign w:val="center"/>
            <w:hideMark/>
          </w:tcPr>
          <w:p w14:paraId="22E97621" w14:textId="77777777" w:rsidR="00370A52" w:rsidRPr="00667AE7" w:rsidRDefault="00370A52" w:rsidP="00667AE7">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71659DFC"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Alteración de los porcentajes de concurrencia de la deuda Manipulación de los cálculos actuariales y </w:t>
            </w:r>
            <w:r w:rsidRPr="00667AE7">
              <w:rPr>
                <w:rFonts w:ascii="Arial" w:eastAsia="Times New Roman" w:hAnsi="Arial" w:cs="Arial"/>
                <w:color w:val="000000"/>
                <w:sz w:val="20"/>
                <w:szCs w:val="20"/>
                <w:lang w:eastAsia="es-CO"/>
              </w:rPr>
              <w:lastRenderedPageBreak/>
              <w:t>modificación del valor de la deuda</w:t>
            </w:r>
          </w:p>
        </w:tc>
        <w:tc>
          <w:tcPr>
            <w:tcW w:w="2586" w:type="dxa"/>
            <w:vMerge/>
            <w:tcBorders>
              <w:top w:val="nil"/>
              <w:left w:val="single" w:sz="4" w:space="0" w:color="auto"/>
              <w:bottom w:val="single" w:sz="4" w:space="0" w:color="auto"/>
              <w:right w:val="single" w:sz="4" w:space="0" w:color="auto"/>
            </w:tcBorders>
            <w:vAlign w:val="center"/>
            <w:hideMark/>
          </w:tcPr>
          <w:p w14:paraId="626AD01F"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1764" w:type="dxa"/>
            <w:vMerge/>
            <w:tcBorders>
              <w:top w:val="nil"/>
              <w:left w:val="single" w:sz="4" w:space="0" w:color="auto"/>
              <w:bottom w:val="single" w:sz="4" w:space="0" w:color="000000"/>
              <w:right w:val="single" w:sz="4" w:space="0" w:color="auto"/>
            </w:tcBorders>
            <w:vAlign w:val="center"/>
            <w:hideMark/>
          </w:tcPr>
          <w:p w14:paraId="36BF0D9A"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2094" w:type="dxa"/>
            <w:vMerge/>
            <w:tcBorders>
              <w:top w:val="nil"/>
              <w:left w:val="single" w:sz="4" w:space="0" w:color="auto"/>
              <w:bottom w:val="single" w:sz="4" w:space="0" w:color="000000"/>
              <w:right w:val="single" w:sz="4" w:space="0" w:color="auto"/>
            </w:tcBorders>
            <w:vAlign w:val="center"/>
            <w:hideMark/>
          </w:tcPr>
          <w:p w14:paraId="5A79ACB4"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3440" w:type="dxa"/>
            <w:vMerge/>
            <w:tcBorders>
              <w:top w:val="nil"/>
              <w:left w:val="single" w:sz="4" w:space="0" w:color="auto"/>
              <w:bottom w:val="single" w:sz="4" w:space="0" w:color="000000"/>
              <w:right w:val="single" w:sz="4" w:space="0" w:color="auto"/>
            </w:tcBorders>
            <w:vAlign w:val="center"/>
            <w:hideMark/>
          </w:tcPr>
          <w:p w14:paraId="08E3547A"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2514" w:type="dxa"/>
            <w:vMerge/>
            <w:tcBorders>
              <w:top w:val="nil"/>
              <w:left w:val="single" w:sz="4" w:space="0" w:color="auto"/>
              <w:bottom w:val="single" w:sz="4" w:space="0" w:color="000000"/>
              <w:right w:val="single" w:sz="4" w:space="0" w:color="auto"/>
            </w:tcBorders>
            <w:vAlign w:val="center"/>
            <w:hideMark/>
          </w:tcPr>
          <w:p w14:paraId="142C930E"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r>
      <w:tr w:rsidR="00370A52" w:rsidRPr="00667AE7" w14:paraId="36262177" w14:textId="77777777" w:rsidTr="00703C25">
        <w:trPr>
          <w:trHeight w:val="532"/>
        </w:trPr>
        <w:tc>
          <w:tcPr>
            <w:tcW w:w="557" w:type="dxa"/>
            <w:vMerge/>
            <w:tcBorders>
              <w:top w:val="nil"/>
              <w:left w:val="single" w:sz="4" w:space="0" w:color="auto"/>
              <w:bottom w:val="single" w:sz="4" w:space="0" w:color="auto"/>
              <w:right w:val="single" w:sz="4" w:space="0" w:color="auto"/>
            </w:tcBorders>
            <w:vAlign w:val="center"/>
            <w:hideMark/>
          </w:tcPr>
          <w:p w14:paraId="1102CDF3" w14:textId="77777777" w:rsidR="00370A52" w:rsidRPr="00667AE7" w:rsidRDefault="00370A52" w:rsidP="00667AE7">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33A39EB2"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Alteración de la información que se envía a la Actuaria, para actualizar financieramente la deuda en los contratos vigentes</w:t>
            </w:r>
          </w:p>
        </w:tc>
        <w:tc>
          <w:tcPr>
            <w:tcW w:w="2586" w:type="dxa"/>
            <w:vMerge/>
            <w:tcBorders>
              <w:top w:val="nil"/>
              <w:left w:val="single" w:sz="4" w:space="0" w:color="auto"/>
              <w:bottom w:val="single" w:sz="4" w:space="0" w:color="auto"/>
              <w:right w:val="single" w:sz="4" w:space="0" w:color="auto"/>
            </w:tcBorders>
            <w:vAlign w:val="center"/>
            <w:hideMark/>
          </w:tcPr>
          <w:p w14:paraId="270BEE14"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1764" w:type="dxa"/>
            <w:vMerge/>
            <w:tcBorders>
              <w:top w:val="nil"/>
              <w:left w:val="single" w:sz="4" w:space="0" w:color="auto"/>
              <w:bottom w:val="single" w:sz="4" w:space="0" w:color="000000"/>
              <w:right w:val="single" w:sz="4" w:space="0" w:color="auto"/>
            </w:tcBorders>
            <w:vAlign w:val="center"/>
            <w:hideMark/>
          </w:tcPr>
          <w:p w14:paraId="0FB93FD3"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2094" w:type="dxa"/>
            <w:vMerge/>
            <w:tcBorders>
              <w:top w:val="nil"/>
              <w:left w:val="single" w:sz="4" w:space="0" w:color="auto"/>
              <w:bottom w:val="single" w:sz="4" w:space="0" w:color="000000"/>
              <w:right w:val="single" w:sz="4" w:space="0" w:color="auto"/>
            </w:tcBorders>
            <w:vAlign w:val="center"/>
            <w:hideMark/>
          </w:tcPr>
          <w:p w14:paraId="50D22ADD"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3440" w:type="dxa"/>
            <w:vMerge/>
            <w:tcBorders>
              <w:top w:val="nil"/>
              <w:left w:val="single" w:sz="4" w:space="0" w:color="auto"/>
              <w:bottom w:val="single" w:sz="4" w:space="0" w:color="000000"/>
              <w:right w:val="single" w:sz="4" w:space="0" w:color="auto"/>
            </w:tcBorders>
            <w:vAlign w:val="center"/>
            <w:hideMark/>
          </w:tcPr>
          <w:p w14:paraId="29C33661"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c>
          <w:tcPr>
            <w:tcW w:w="2514" w:type="dxa"/>
            <w:vMerge/>
            <w:tcBorders>
              <w:top w:val="nil"/>
              <w:left w:val="single" w:sz="4" w:space="0" w:color="auto"/>
              <w:bottom w:val="single" w:sz="4" w:space="0" w:color="000000"/>
              <w:right w:val="single" w:sz="4" w:space="0" w:color="auto"/>
            </w:tcBorders>
            <w:vAlign w:val="center"/>
            <w:hideMark/>
          </w:tcPr>
          <w:p w14:paraId="4109F5C3" w14:textId="77777777" w:rsidR="00370A52" w:rsidRPr="00667AE7" w:rsidRDefault="00370A52" w:rsidP="00667AE7">
            <w:pPr>
              <w:spacing w:after="0" w:line="240" w:lineRule="auto"/>
              <w:jc w:val="both"/>
              <w:rPr>
                <w:rFonts w:ascii="Arial" w:eastAsia="Times New Roman" w:hAnsi="Arial" w:cs="Arial"/>
                <w:color w:val="000000"/>
                <w:sz w:val="20"/>
                <w:szCs w:val="20"/>
                <w:lang w:eastAsia="es-CO"/>
              </w:rPr>
            </w:pPr>
          </w:p>
        </w:tc>
      </w:tr>
      <w:tr w:rsidR="0066083E" w:rsidRPr="00667AE7" w14:paraId="251516CB" w14:textId="77777777" w:rsidTr="00667AE7">
        <w:trPr>
          <w:trHeight w:val="1215"/>
        </w:trPr>
        <w:tc>
          <w:tcPr>
            <w:tcW w:w="557" w:type="dxa"/>
            <w:vMerge/>
            <w:tcBorders>
              <w:top w:val="nil"/>
              <w:left w:val="single" w:sz="4" w:space="0" w:color="auto"/>
              <w:bottom w:val="single" w:sz="4" w:space="0" w:color="auto"/>
              <w:right w:val="single" w:sz="4" w:space="0" w:color="auto"/>
            </w:tcBorders>
            <w:vAlign w:val="center"/>
            <w:hideMark/>
          </w:tcPr>
          <w:p w14:paraId="6FDEB416" w14:textId="77777777" w:rsidR="0066083E" w:rsidRPr="00667AE7" w:rsidRDefault="0066083E" w:rsidP="0066083E">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4DAF925F"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Modificación de la Resolución por la cual se establezcan los beneficiarios, valores de la deuda, porcentajes de concurrencia y partes.</w:t>
            </w:r>
          </w:p>
        </w:tc>
        <w:tc>
          <w:tcPr>
            <w:tcW w:w="2586" w:type="dxa"/>
            <w:vMerge/>
            <w:tcBorders>
              <w:top w:val="nil"/>
              <w:left w:val="single" w:sz="4" w:space="0" w:color="auto"/>
              <w:bottom w:val="single" w:sz="4" w:space="0" w:color="auto"/>
              <w:right w:val="single" w:sz="4" w:space="0" w:color="auto"/>
            </w:tcBorders>
            <w:vAlign w:val="center"/>
            <w:hideMark/>
          </w:tcPr>
          <w:p w14:paraId="638F3361"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17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B30D86"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Revisar la información y cotejarla con los soportes documentales </w:t>
            </w:r>
          </w:p>
        </w:tc>
        <w:tc>
          <w:tcPr>
            <w:tcW w:w="20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1A75C3" w14:textId="77777777" w:rsidR="0066083E"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El control establece su propósito para evitar la materialización del riesgo. </w:t>
            </w:r>
          </w:p>
          <w:p w14:paraId="4124C0DC"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079E0D"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Según lo reportado por el </w:t>
            </w:r>
            <w:r>
              <w:rPr>
                <w:rFonts w:ascii="Arial" w:eastAsia="Times New Roman" w:hAnsi="Arial" w:cs="Arial"/>
                <w:color w:val="000000"/>
                <w:sz w:val="20"/>
                <w:szCs w:val="20"/>
                <w:lang w:eastAsia="es-CO"/>
              </w:rPr>
              <w:t>proceso</w:t>
            </w:r>
            <w:r w:rsidRPr="00667AE7">
              <w:rPr>
                <w:rFonts w:ascii="Arial" w:eastAsia="Times New Roman" w:hAnsi="Arial" w:cs="Arial"/>
                <w:color w:val="000000"/>
                <w:sz w:val="20"/>
                <w:szCs w:val="20"/>
                <w:lang w:eastAsia="es-CO"/>
              </w:rPr>
              <w:t xml:space="preserve"> en el SMGI, durante segundo cuatrimestre del 2021, se aplicó el control por medio de la revisión de los soportes documentales recibidos para realizar los contratos de concurrencia contra los soportes físicos en el archivo.</w:t>
            </w:r>
          </w:p>
        </w:tc>
        <w:tc>
          <w:tcPr>
            <w:tcW w:w="25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98CD9E" w14:textId="574E6F4C" w:rsidR="0066083E" w:rsidRPr="00667AE7" w:rsidRDefault="005E746A"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 xml:space="preserve">segundo cuatrimestre de la vigencia 2021. </w:t>
            </w:r>
            <w:r w:rsidR="0066083E">
              <w:rPr>
                <w:rFonts w:ascii="Arial" w:eastAsia="Times New Roman" w:hAnsi="Arial" w:cs="Arial"/>
                <w:color w:val="000000"/>
                <w:sz w:val="20"/>
                <w:szCs w:val="20"/>
                <w:lang w:eastAsia="es-CO"/>
              </w:rPr>
              <w:t xml:space="preserve">  </w:t>
            </w:r>
          </w:p>
        </w:tc>
      </w:tr>
      <w:tr w:rsidR="0066083E" w:rsidRPr="00667AE7" w14:paraId="1FF5E39A" w14:textId="77777777" w:rsidTr="00667AE7">
        <w:trPr>
          <w:trHeight w:val="1197"/>
        </w:trPr>
        <w:tc>
          <w:tcPr>
            <w:tcW w:w="557" w:type="dxa"/>
            <w:vMerge/>
            <w:tcBorders>
              <w:top w:val="nil"/>
              <w:left w:val="single" w:sz="4" w:space="0" w:color="auto"/>
              <w:bottom w:val="single" w:sz="4" w:space="0" w:color="auto"/>
              <w:right w:val="single" w:sz="4" w:space="0" w:color="auto"/>
            </w:tcBorders>
            <w:vAlign w:val="center"/>
            <w:hideMark/>
          </w:tcPr>
          <w:p w14:paraId="35182EE8" w14:textId="77777777" w:rsidR="0066083E" w:rsidRPr="00667AE7" w:rsidRDefault="0066083E" w:rsidP="0066083E">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7BCC46DB"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Tramitar contratos sin observancia de los requisitos legales esenciales o celebrarlos o liquidarlos sin verificar el cumplimiento de los mismos.</w:t>
            </w:r>
          </w:p>
        </w:tc>
        <w:tc>
          <w:tcPr>
            <w:tcW w:w="2586" w:type="dxa"/>
            <w:vMerge/>
            <w:tcBorders>
              <w:top w:val="nil"/>
              <w:left w:val="single" w:sz="4" w:space="0" w:color="auto"/>
              <w:bottom w:val="single" w:sz="4" w:space="0" w:color="auto"/>
              <w:right w:val="single" w:sz="4" w:space="0" w:color="auto"/>
            </w:tcBorders>
            <w:vAlign w:val="center"/>
            <w:hideMark/>
          </w:tcPr>
          <w:p w14:paraId="66C731D2"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1764" w:type="dxa"/>
            <w:vMerge/>
            <w:tcBorders>
              <w:top w:val="nil"/>
              <w:left w:val="single" w:sz="4" w:space="0" w:color="auto"/>
              <w:bottom w:val="single" w:sz="4" w:space="0" w:color="000000"/>
              <w:right w:val="single" w:sz="4" w:space="0" w:color="auto"/>
            </w:tcBorders>
            <w:vAlign w:val="center"/>
            <w:hideMark/>
          </w:tcPr>
          <w:p w14:paraId="02CF45A5"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2094" w:type="dxa"/>
            <w:vMerge/>
            <w:tcBorders>
              <w:top w:val="nil"/>
              <w:left w:val="single" w:sz="4" w:space="0" w:color="auto"/>
              <w:bottom w:val="single" w:sz="4" w:space="0" w:color="000000"/>
              <w:right w:val="single" w:sz="4" w:space="0" w:color="auto"/>
            </w:tcBorders>
            <w:vAlign w:val="center"/>
            <w:hideMark/>
          </w:tcPr>
          <w:p w14:paraId="64AF842F"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3440" w:type="dxa"/>
            <w:vMerge/>
            <w:tcBorders>
              <w:top w:val="nil"/>
              <w:left w:val="single" w:sz="4" w:space="0" w:color="auto"/>
              <w:bottom w:val="single" w:sz="4" w:space="0" w:color="000000"/>
              <w:right w:val="single" w:sz="4" w:space="0" w:color="auto"/>
            </w:tcBorders>
            <w:vAlign w:val="center"/>
            <w:hideMark/>
          </w:tcPr>
          <w:p w14:paraId="3C6EF696"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2514" w:type="dxa"/>
            <w:vMerge/>
            <w:tcBorders>
              <w:top w:val="nil"/>
              <w:left w:val="single" w:sz="4" w:space="0" w:color="auto"/>
              <w:bottom w:val="single" w:sz="4" w:space="0" w:color="000000"/>
              <w:right w:val="single" w:sz="4" w:space="0" w:color="auto"/>
            </w:tcBorders>
            <w:vAlign w:val="center"/>
            <w:hideMark/>
          </w:tcPr>
          <w:p w14:paraId="07F6BE79"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r>
      <w:tr w:rsidR="0066083E" w:rsidRPr="00667AE7" w14:paraId="2EBA4B14" w14:textId="77777777" w:rsidTr="00667AE7">
        <w:trPr>
          <w:trHeight w:val="1485"/>
        </w:trPr>
        <w:tc>
          <w:tcPr>
            <w:tcW w:w="557" w:type="dxa"/>
            <w:vMerge/>
            <w:tcBorders>
              <w:top w:val="nil"/>
              <w:left w:val="single" w:sz="4" w:space="0" w:color="auto"/>
              <w:bottom w:val="single" w:sz="4" w:space="0" w:color="auto"/>
              <w:right w:val="single" w:sz="4" w:space="0" w:color="auto"/>
            </w:tcBorders>
            <w:vAlign w:val="center"/>
            <w:hideMark/>
          </w:tcPr>
          <w:p w14:paraId="372954E7" w14:textId="77777777" w:rsidR="0066083E" w:rsidRPr="00667AE7" w:rsidRDefault="0066083E" w:rsidP="0066083E">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47AAE01C"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Inducir en error al ordenador del gasto para que autorice el giro de los recursos a cargo de la nación por sumas diferentes a las establecidas dentro del contrato de concurrencia.</w:t>
            </w:r>
          </w:p>
        </w:tc>
        <w:tc>
          <w:tcPr>
            <w:tcW w:w="2586" w:type="dxa"/>
            <w:vMerge/>
            <w:tcBorders>
              <w:top w:val="nil"/>
              <w:left w:val="single" w:sz="4" w:space="0" w:color="auto"/>
              <w:bottom w:val="single" w:sz="4" w:space="0" w:color="auto"/>
              <w:right w:val="single" w:sz="4" w:space="0" w:color="auto"/>
            </w:tcBorders>
            <w:vAlign w:val="center"/>
            <w:hideMark/>
          </w:tcPr>
          <w:p w14:paraId="016462E0"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1764" w:type="dxa"/>
            <w:vMerge/>
            <w:tcBorders>
              <w:top w:val="nil"/>
              <w:left w:val="single" w:sz="4" w:space="0" w:color="auto"/>
              <w:bottom w:val="single" w:sz="4" w:space="0" w:color="000000"/>
              <w:right w:val="single" w:sz="4" w:space="0" w:color="auto"/>
            </w:tcBorders>
            <w:vAlign w:val="center"/>
            <w:hideMark/>
          </w:tcPr>
          <w:p w14:paraId="0331D08B"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2094" w:type="dxa"/>
            <w:vMerge/>
            <w:tcBorders>
              <w:top w:val="nil"/>
              <w:left w:val="single" w:sz="4" w:space="0" w:color="auto"/>
              <w:bottom w:val="single" w:sz="4" w:space="0" w:color="000000"/>
              <w:right w:val="single" w:sz="4" w:space="0" w:color="auto"/>
            </w:tcBorders>
            <w:vAlign w:val="center"/>
            <w:hideMark/>
          </w:tcPr>
          <w:p w14:paraId="291A1B92"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3440" w:type="dxa"/>
            <w:vMerge/>
            <w:tcBorders>
              <w:top w:val="nil"/>
              <w:left w:val="single" w:sz="4" w:space="0" w:color="auto"/>
              <w:bottom w:val="single" w:sz="4" w:space="0" w:color="000000"/>
              <w:right w:val="single" w:sz="4" w:space="0" w:color="auto"/>
            </w:tcBorders>
            <w:vAlign w:val="center"/>
            <w:hideMark/>
          </w:tcPr>
          <w:p w14:paraId="69A0826B"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2514" w:type="dxa"/>
            <w:vMerge/>
            <w:tcBorders>
              <w:top w:val="nil"/>
              <w:left w:val="single" w:sz="4" w:space="0" w:color="auto"/>
              <w:bottom w:val="single" w:sz="4" w:space="0" w:color="000000"/>
              <w:right w:val="single" w:sz="4" w:space="0" w:color="auto"/>
            </w:tcBorders>
            <w:vAlign w:val="center"/>
            <w:hideMark/>
          </w:tcPr>
          <w:p w14:paraId="4DB83446"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r>
      <w:tr w:rsidR="0066083E" w:rsidRPr="00667AE7" w14:paraId="045B8189" w14:textId="77777777" w:rsidTr="00667AE7">
        <w:trPr>
          <w:trHeight w:val="85"/>
        </w:trPr>
        <w:tc>
          <w:tcPr>
            <w:tcW w:w="557" w:type="dxa"/>
            <w:vMerge/>
            <w:tcBorders>
              <w:top w:val="nil"/>
              <w:left w:val="single" w:sz="4" w:space="0" w:color="auto"/>
              <w:bottom w:val="single" w:sz="4" w:space="0" w:color="auto"/>
              <w:right w:val="single" w:sz="4" w:space="0" w:color="auto"/>
            </w:tcBorders>
            <w:vAlign w:val="center"/>
            <w:hideMark/>
          </w:tcPr>
          <w:p w14:paraId="3BDF1C73" w14:textId="77777777" w:rsidR="0066083E" w:rsidRPr="00667AE7" w:rsidRDefault="0066083E" w:rsidP="0066083E">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79534DFA"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Certificar o avalar que se efectuaron pagos ficticios, de las obligaciones contenidas en los contratos de concurrencia generando paz y salvos de la deuda</w:t>
            </w:r>
          </w:p>
        </w:tc>
        <w:tc>
          <w:tcPr>
            <w:tcW w:w="2586" w:type="dxa"/>
            <w:vMerge/>
            <w:tcBorders>
              <w:top w:val="nil"/>
              <w:left w:val="single" w:sz="4" w:space="0" w:color="auto"/>
              <w:bottom w:val="single" w:sz="4" w:space="0" w:color="auto"/>
              <w:right w:val="single" w:sz="4" w:space="0" w:color="auto"/>
            </w:tcBorders>
            <w:vAlign w:val="center"/>
            <w:hideMark/>
          </w:tcPr>
          <w:p w14:paraId="0BE366BC"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1764" w:type="dxa"/>
            <w:vMerge/>
            <w:tcBorders>
              <w:top w:val="nil"/>
              <w:left w:val="single" w:sz="4" w:space="0" w:color="auto"/>
              <w:bottom w:val="single" w:sz="4" w:space="0" w:color="000000"/>
              <w:right w:val="single" w:sz="4" w:space="0" w:color="auto"/>
            </w:tcBorders>
            <w:vAlign w:val="center"/>
            <w:hideMark/>
          </w:tcPr>
          <w:p w14:paraId="2DE8F7F7"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2094" w:type="dxa"/>
            <w:vMerge/>
            <w:tcBorders>
              <w:top w:val="nil"/>
              <w:left w:val="single" w:sz="4" w:space="0" w:color="auto"/>
              <w:bottom w:val="single" w:sz="4" w:space="0" w:color="000000"/>
              <w:right w:val="single" w:sz="4" w:space="0" w:color="auto"/>
            </w:tcBorders>
            <w:vAlign w:val="center"/>
            <w:hideMark/>
          </w:tcPr>
          <w:p w14:paraId="5D7D8503"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3440" w:type="dxa"/>
            <w:vMerge/>
            <w:tcBorders>
              <w:top w:val="nil"/>
              <w:left w:val="single" w:sz="4" w:space="0" w:color="auto"/>
              <w:bottom w:val="single" w:sz="4" w:space="0" w:color="000000"/>
              <w:right w:val="single" w:sz="4" w:space="0" w:color="auto"/>
            </w:tcBorders>
            <w:vAlign w:val="center"/>
            <w:hideMark/>
          </w:tcPr>
          <w:p w14:paraId="3364AC77"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2514" w:type="dxa"/>
            <w:vMerge/>
            <w:tcBorders>
              <w:top w:val="nil"/>
              <w:left w:val="single" w:sz="4" w:space="0" w:color="auto"/>
              <w:bottom w:val="single" w:sz="4" w:space="0" w:color="000000"/>
              <w:right w:val="single" w:sz="4" w:space="0" w:color="auto"/>
            </w:tcBorders>
            <w:vAlign w:val="center"/>
            <w:hideMark/>
          </w:tcPr>
          <w:p w14:paraId="38392C0B"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r>
      <w:tr w:rsidR="0066083E" w:rsidRPr="00667AE7" w14:paraId="700ABE5A" w14:textId="77777777" w:rsidTr="00667AE7">
        <w:trPr>
          <w:trHeight w:val="1605"/>
        </w:trPr>
        <w:tc>
          <w:tcPr>
            <w:tcW w:w="5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850896" w14:textId="77777777" w:rsidR="0066083E" w:rsidRPr="00667AE7" w:rsidRDefault="0066083E" w:rsidP="0066083E">
            <w:pPr>
              <w:spacing w:after="0" w:line="240" w:lineRule="auto"/>
              <w:jc w:val="center"/>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lastRenderedPageBreak/>
              <w:t>10</w:t>
            </w:r>
          </w:p>
        </w:tc>
        <w:tc>
          <w:tcPr>
            <w:tcW w:w="2639" w:type="dxa"/>
            <w:tcBorders>
              <w:top w:val="nil"/>
              <w:left w:val="nil"/>
              <w:bottom w:val="single" w:sz="4" w:space="0" w:color="auto"/>
              <w:right w:val="single" w:sz="4" w:space="0" w:color="auto"/>
            </w:tcBorders>
            <w:shd w:val="clear" w:color="000000" w:fill="FFFFFF"/>
            <w:vAlign w:val="center"/>
            <w:hideMark/>
          </w:tcPr>
          <w:p w14:paraId="1BA73597"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Alteración de los porcentajes de concurrencia de la deuda, beneficiando a alguna de las partes concurrentes o excluir a alguna entidad territorial como concurrente</w:t>
            </w: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BFA630"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R44 Inducir o constreñir a un tercero para que dé o prometa a agente(s) del proceso dinero o cualquier otra dádiva.</w:t>
            </w:r>
          </w:p>
        </w:tc>
        <w:tc>
          <w:tcPr>
            <w:tcW w:w="17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577273"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Descentralización de actividades</w:t>
            </w:r>
          </w:p>
        </w:tc>
        <w:tc>
          <w:tcPr>
            <w:tcW w:w="20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CE9F17" w14:textId="77777777" w:rsidR="0066083E"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El control establece su propósito para evitar la materialización del riesgo.</w:t>
            </w:r>
          </w:p>
          <w:p w14:paraId="55B9EBD4"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98FFE0" w14:textId="77777777" w:rsidR="0066083E"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De conformidad con lo reportado por el </w:t>
            </w:r>
            <w:r>
              <w:rPr>
                <w:rFonts w:ascii="Arial" w:eastAsia="Times New Roman" w:hAnsi="Arial" w:cs="Arial"/>
                <w:color w:val="000000"/>
                <w:sz w:val="20"/>
                <w:szCs w:val="20"/>
                <w:lang w:eastAsia="es-CO"/>
              </w:rPr>
              <w:t>proceso</w:t>
            </w:r>
            <w:r w:rsidRPr="00667AE7">
              <w:rPr>
                <w:rFonts w:ascii="Arial" w:eastAsia="Times New Roman" w:hAnsi="Arial" w:cs="Arial"/>
                <w:color w:val="000000"/>
                <w:sz w:val="20"/>
                <w:szCs w:val="20"/>
                <w:lang w:eastAsia="es-CO"/>
              </w:rPr>
              <w:t xml:space="preserve"> en el SMGI, durante el periodo evaluado con relación a la información pensional recibida para  validación, los diferentes procesos requeridos estuvieron desagregados en más de cinco actore</w:t>
            </w:r>
            <w:r>
              <w:rPr>
                <w:rFonts w:ascii="Arial" w:eastAsia="Times New Roman" w:hAnsi="Arial" w:cs="Arial"/>
                <w:color w:val="000000"/>
                <w:sz w:val="20"/>
                <w:szCs w:val="20"/>
                <w:lang w:eastAsia="es-CO"/>
              </w:rPr>
              <w:t>s</w:t>
            </w:r>
            <w:r w:rsidRPr="00667AE7">
              <w:rPr>
                <w:rFonts w:ascii="Arial" w:eastAsia="Times New Roman" w:hAnsi="Arial" w:cs="Arial"/>
                <w:color w:val="000000"/>
                <w:sz w:val="20"/>
                <w:szCs w:val="20"/>
                <w:lang w:eastAsia="es-CO"/>
              </w:rPr>
              <w:t xml:space="preserve">. </w:t>
            </w:r>
          </w:p>
          <w:p w14:paraId="009D28BE"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Se evidenciaron soportes que hacen referencia a la aplicación d</w:t>
            </w:r>
            <w:r>
              <w:rPr>
                <w:rFonts w:ascii="Arial" w:eastAsia="Times New Roman" w:hAnsi="Arial" w:cs="Arial"/>
                <w:color w:val="000000"/>
                <w:sz w:val="20"/>
                <w:szCs w:val="20"/>
                <w:lang w:eastAsia="es-CO"/>
              </w:rPr>
              <w:t xml:space="preserve">el control por parte de los responsables de su ejecución. </w:t>
            </w:r>
          </w:p>
        </w:tc>
        <w:tc>
          <w:tcPr>
            <w:tcW w:w="25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30B7DF"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segundo cuatrimestre de la vigencia 2021.</w:t>
            </w:r>
          </w:p>
        </w:tc>
      </w:tr>
      <w:tr w:rsidR="0066083E" w:rsidRPr="00667AE7" w14:paraId="27A5F858" w14:textId="77777777" w:rsidTr="00667AE7">
        <w:trPr>
          <w:trHeight w:val="1350"/>
        </w:trPr>
        <w:tc>
          <w:tcPr>
            <w:tcW w:w="557" w:type="dxa"/>
            <w:vMerge/>
            <w:tcBorders>
              <w:top w:val="nil"/>
              <w:left w:val="single" w:sz="4" w:space="0" w:color="auto"/>
              <w:bottom w:val="single" w:sz="4" w:space="0" w:color="auto"/>
              <w:right w:val="single" w:sz="4" w:space="0" w:color="auto"/>
            </w:tcBorders>
            <w:vAlign w:val="center"/>
            <w:hideMark/>
          </w:tcPr>
          <w:p w14:paraId="67356DF4" w14:textId="77777777" w:rsidR="0066083E" w:rsidRPr="00667AE7" w:rsidRDefault="0066083E" w:rsidP="0066083E">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07C8176A"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Tramitar contratos sin observancia de los requisitos legales esenciales o celebrarlos o liquidarlos sin verificar el cumplimiento de los mismos.</w:t>
            </w:r>
          </w:p>
        </w:tc>
        <w:tc>
          <w:tcPr>
            <w:tcW w:w="2586" w:type="dxa"/>
            <w:vMerge/>
            <w:tcBorders>
              <w:top w:val="nil"/>
              <w:left w:val="single" w:sz="4" w:space="0" w:color="auto"/>
              <w:bottom w:val="single" w:sz="4" w:space="0" w:color="auto"/>
              <w:right w:val="single" w:sz="4" w:space="0" w:color="auto"/>
            </w:tcBorders>
            <w:vAlign w:val="center"/>
            <w:hideMark/>
          </w:tcPr>
          <w:p w14:paraId="2236F4F5"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1764" w:type="dxa"/>
            <w:vMerge/>
            <w:tcBorders>
              <w:top w:val="nil"/>
              <w:left w:val="single" w:sz="4" w:space="0" w:color="auto"/>
              <w:bottom w:val="single" w:sz="4" w:space="0" w:color="000000"/>
              <w:right w:val="single" w:sz="4" w:space="0" w:color="auto"/>
            </w:tcBorders>
            <w:vAlign w:val="center"/>
            <w:hideMark/>
          </w:tcPr>
          <w:p w14:paraId="31601E5E"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2094" w:type="dxa"/>
            <w:vMerge/>
            <w:tcBorders>
              <w:top w:val="nil"/>
              <w:left w:val="single" w:sz="4" w:space="0" w:color="auto"/>
              <w:bottom w:val="single" w:sz="4" w:space="0" w:color="000000"/>
              <w:right w:val="single" w:sz="4" w:space="0" w:color="auto"/>
            </w:tcBorders>
            <w:vAlign w:val="center"/>
            <w:hideMark/>
          </w:tcPr>
          <w:p w14:paraId="4F79BAF0"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3440" w:type="dxa"/>
            <w:vMerge/>
            <w:tcBorders>
              <w:top w:val="nil"/>
              <w:left w:val="single" w:sz="4" w:space="0" w:color="auto"/>
              <w:bottom w:val="single" w:sz="4" w:space="0" w:color="000000"/>
              <w:right w:val="single" w:sz="4" w:space="0" w:color="auto"/>
            </w:tcBorders>
            <w:vAlign w:val="center"/>
            <w:hideMark/>
          </w:tcPr>
          <w:p w14:paraId="0C056B46"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2514" w:type="dxa"/>
            <w:vMerge/>
            <w:tcBorders>
              <w:top w:val="nil"/>
              <w:left w:val="single" w:sz="4" w:space="0" w:color="auto"/>
              <w:bottom w:val="single" w:sz="4" w:space="0" w:color="000000"/>
              <w:right w:val="single" w:sz="4" w:space="0" w:color="auto"/>
            </w:tcBorders>
            <w:vAlign w:val="center"/>
            <w:hideMark/>
          </w:tcPr>
          <w:p w14:paraId="46F106FD"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r>
      <w:tr w:rsidR="0066083E" w:rsidRPr="00667AE7" w14:paraId="47545371" w14:textId="77777777" w:rsidTr="00667AE7">
        <w:trPr>
          <w:trHeight w:val="2134"/>
        </w:trPr>
        <w:tc>
          <w:tcPr>
            <w:tcW w:w="557" w:type="dxa"/>
            <w:vMerge/>
            <w:tcBorders>
              <w:top w:val="nil"/>
              <w:left w:val="single" w:sz="4" w:space="0" w:color="auto"/>
              <w:bottom w:val="single" w:sz="4" w:space="0" w:color="auto"/>
              <w:right w:val="single" w:sz="4" w:space="0" w:color="auto"/>
            </w:tcBorders>
            <w:vAlign w:val="center"/>
            <w:hideMark/>
          </w:tcPr>
          <w:p w14:paraId="2535190B" w14:textId="77777777" w:rsidR="0066083E" w:rsidRPr="00667AE7" w:rsidRDefault="0066083E" w:rsidP="0066083E">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010E8302"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Manipulación de los cálculos actuariales y modificación del valor de la deuda para beneficio de alguna de las partes concurrentes. Alteración de la información que se envía a la Actuaria, para actualizar financieramente la deuda en los contratos vigentes, beneficiando a alguna de las partes concurrentes</w:t>
            </w:r>
          </w:p>
        </w:tc>
        <w:tc>
          <w:tcPr>
            <w:tcW w:w="2586" w:type="dxa"/>
            <w:vMerge/>
            <w:tcBorders>
              <w:top w:val="nil"/>
              <w:left w:val="single" w:sz="4" w:space="0" w:color="auto"/>
              <w:bottom w:val="single" w:sz="4" w:space="0" w:color="auto"/>
              <w:right w:val="single" w:sz="4" w:space="0" w:color="auto"/>
            </w:tcBorders>
            <w:vAlign w:val="center"/>
            <w:hideMark/>
          </w:tcPr>
          <w:p w14:paraId="24C48632"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1764" w:type="dxa"/>
            <w:vMerge/>
            <w:tcBorders>
              <w:top w:val="nil"/>
              <w:left w:val="single" w:sz="4" w:space="0" w:color="auto"/>
              <w:bottom w:val="single" w:sz="4" w:space="0" w:color="000000"/>
              <w:right w:val="single" w:sz="4" w:space="0" w:color="auto"/>
            </w:tcBorders>
            <w:vAlign w:val="center"/>
            <w:hideMark/>
          </w:tcPr>
          <w:p w14:paraId="225CF4EC"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2094" w:type="dxa"/>
            <w:vMerge/>
            <w:tcBorders>
              <w:top w:val="nil"/>
              <w:left w:val="single" w:sz="4" w:space="0" w:color="auto"/>
              <w:bottom w:val="single" w:sz="4" w:space="0" w:color="000000"/>
              <w:right w:val="single" w:sz="4" w:space="0" w:color="auto"/>
            </w:tcBorders>
            <w:vAlign w:val="center"/>
            <w:hideMark/>
          </w:tcPr>
          <w:p w14:paraId="632CCF05"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3440" w:type="dxa"/>
            <w:vMerge/>
            <w:tcBorders>
              <w:top w:val="nil"/>
              <w:left w:val="single" w:sz="4" w:space="0" w:color="auto"/>
              <w:bottom w:val="single" w:sz="4" w:space="0" w:color="000000"/>
              <w:right w:val="single" w:sz="4" w:space="0" w:color="auto"/>
            </w:tcBorders>
            <w:vAlign w:val="center"/>
            <w:hideMark/>
          </w:tcPr>
          <w:p w14:paraId="490EEDBC"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2514" w:type="dxa"/>
            <w:vMerge/>
            <w:tcBorders>
              <w:top w:val="nil"/>
              <w:left w:val="single" w:sz="4" w:space="0" w:color="auto"/>
              <w:bottom w:val="single" w:sz="4" w:space="0" w:color="000000"/>
              <w:right w:val="single" w:sz="4" w:space="0" w:color="auto"/>
            </w:tcBorders>
            <w:vAlign w:val="center"/>
            <w:hideMark/>
          </w:tcPr>
          <w:p w14:paraId="5CC331A4"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r>
      <w:tr w:rsidR="0066083E" w:rsidRPr="00667AE7" w14:paraId="01EFDC17" w14:textId="77777777" w:rsidTr="003E0E08">
        <w:trPr>
          <w:trHeight w:val="77"/>
        </w:trPr>
        <w:tc>
          <w:tcPr>
            <w:tcW w:w="557" w:type="dxa"/>
            <w:vMerge/>
            <w:tcBorders>
              <w:top w:val="nil"/>
              <w:left w:val="single" w:sz="4" w:space="0" w:color="auto"/>
              <w:bottom w:val="single" w:sz="4" w:space="0" w:color="auto"/>
              <w:right w:val="single" w:sz="4" w:space="0" w:color="auto"/>
            </w:tcBorders>
            <w:vAlign w:val="center"/>
            <w:hideMark/>
          </w:tcPr>
          <w:p w14:paraId="0912015A" w14:textId="77777777" w:rsidR="0066083E" w:rsidRPr="00667AE7" w:rsidRDefault="0066083E" w:rsidP="0066083E">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12CA915F"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Con el propósito de obtener un provecho ilícito para sí, para el contratista o para un tercero, tramitar contratos sin observancia de los requisitos legales esenciales o celebrarlos o liquidarlos sin verificar el cumplimiento de los mismos.</w:t>
            </w:r>
          </w:p>
        </w:tc>
        <w:tc>
          <w:tcPr>
            <w:tcW w:w="2586" w:type="dxa"/>
            <w:vMerge/>
            <w:tcBorders>
              <w:top w:val="nil"/>
              <w:left w:val="single" w:sz="4" w:space="0" w:color="auto"/>
              <w:bottom w:val="single" w:sz="4" w:space="0" w:color="auto"/>
              <w:right w:val="single" w:sz="4" w:space="0" w:color="auto"/>
            </w:tcBorders>
            <w:vAlign w:val="center"/>
            <w:hideMark/>
          </w:tcPr>
          <w:p w14:paraId="00379B6B"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17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520A4C"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Verificación de la información, por otras dependencias y dan su aprobación y visto bueno</w:t>
            </w:r>
          </w:p>
        </w:tc>
        <w:tc>
          <w:tcPr>
            <w:tcW w:w="20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61E8D2" w14:textId="77777777" w:rsidR="0066083E"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El control establece su propósito para evitar la materialización del riesgo. </w:t>
            </w:r>
          </w:p>
          <w:p w14:paraId="452D6EAB"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FB80AA"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Según lo manifestado por </w:t>
            </w:r>
            <w:r>
              <w:rPr>
                <w:rFonts w:ascii="Arial" w:eastAsia="Times New Roman" w:hAnsi="Arial" w:cs="Arial"/>
                <w:color w:val="000000"/>
                <w:sz w:val="20"/>
                <w:szCs w:val="20"/>
                <w:lang w:eastAsia="es-CO"/>
              </w:rPr>
              <w:t xml:space="preserve">el proceso </w:t>
            </w:r>
            <w:r w:rsidRPr="00667AE7">
              <w:rPr>
                <w:rFonts w:ascii="Arial" w:eastAsia="Times New Roman" w:hAnsi="Arial" w:cs="Arial"/>
                <w:color w:val="000000"/>
                <w:sz w:val="20"/>
                <w:szCs w:val="20"/>
                <w:lang w:eastAsia="es-CO"/>
              </w:rPr>
              <w:t>en el SMGI, durante el periodo evaluado se surtieron trámites de visto bueno y/o aprobación por parte de depen</w:t>
            </w:r>
            <w:r>
              <w:rPr>
                <w:rFonts w:ascii="Arial" w:eastAsia="Times New Roman" w:hAnsi="Arial" w:cs="Arial"/>
                <w:color w:val="000000"/>
                <w:sz w:val="20"/>
                <w:szCs w:val="20"/>
                <w:lang w:eastAsia="es-CO"/>
              </w:rPr>
              <w:t>den</w:t>
            </w:r>
            <w:r w:rsidRPr="00667AE7">
              <w:rPr>
                <w:rFonts w:ascii="Arial" w:eastAsia="Times New Roman" w:hAnsi="Arial" w:cs="Arial"/>
                <w:color w:val="000000"/>
                <w:sz w:val="20"/>
                <w:szCs w:val="20"/>
                <w:lang w:eastAsia="es-CO"/>
              </w:rPr>
              <w:t>cias de entidades como el Ministerio de Trabajo, así como de</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 xml:space="preserve">la Dirección General de Presupuesto Público Nacional. Se observaron soportes que permiten evidenciar la aplicación del control. </w:t>
            </w:r>
          </w:p>
        </w:tc>
        <w:tc>
          <w:tcPr>
            <w:tcW w:w="25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C8B5B5" w14:textId="51EF9889" w:rsidR="0066083E" w:rsidRPr="003E0E08" w:rsidRDefault="005E746A" w:rsidP="003E0E08">
            <w:pPr>
              <w:jc w:val="both"/>
              <w:rPr>
                <w:rFonts w:ascii="Arial" w:eastAsia="Times New Roman" w:hAnsi="Arial" w:cs="Arial"/>
                <w:i/>
                <w:color w:val="000000"/>
                <w:sz w:val="16"/>
                <w:szCs w:val="20"/>
                <w:lang w:eastAsia="es-CO"/>
              </w:rPr>
            </w:pPr>
            <w:r w:rsidRPr="00667AE7">
              <w:rPr>
                <w:rFonts w:ascii="Arial" w:eastAsia="Times New Roman" w:hAnsi="Arial" w:cs="Arial"/>
                <w:color w:val="000000"/>
                <w:sz w:val="20"/>
                <w:szCs w:val="20"/>
                <w:lang w:eastAsia="es-CO"/>
              </w:rPr>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segundo cuatrimestre de la vigencia 2021.</w:t>
            </w:r>
          </w:p>
        </w:tc>
      </w:tr>
      <w:tr w:rsidR="0066083E" w:rsidRPr="00667AE7" w14:paraId="250E33C6" w14:textId="77777777" w:rsidTr="00667AE7">
        <w:trPr>
          <w:trHeight w:val="1725"/>
        </w:trPr>
        <w:tc>
          <w:tcPr>
            <w:tcW w:w="557" w:type="dxa"/>
            <w:vMerge/>
            <w:tcBorders>
              <w:top w:val="nil"/>
              <w:left w:val="single" w:sz="4" w:space="0" w:color="auto"/>
              <w:bottom w:val="single" w:sz="4" w:space="0" w:color="auto"/>
              <w:right w:val="single" w:sz="4" w:space="0" w:color="auto"/>
            </w:tcBorders>
            <w:vAlign w:val="center"/>
            <w:hideMark/>
          </w:tcPr>
          <w:p w14:paraId="69DB113B" w14:textId="77777777" w:rsidR="0066083E" w:rsidRPr="00667AE7" w:rsidRDefault="0066083E" w:rsidP="0066083E">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1430EB17"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Inducir en error al ordenador del gasto para que autorice el giro de los recursos a cargo de la </w:t>
            </w:r>
            <w:r>
              <w:rPr>
                <w:rFonts w:ascii="Arial" w:eastAsia="Times New Roman" w:hAnsi="Arial" w:cs="Arial"/>
                <w:color w:val="000000"/>
                <w:sz w:val="20"/>
                <w:szCs w:val="20"/>
                <w:lang w:eastAsia="es-CO"/>
              </w:rPr>
              <w:t>N</w:t>
            </w:r>
            <w:r w:rsidRPr="00667AE7">
              <w:rPr>
                <w:rFonts w:ascii="Arial" w:eastAsia="Times New Roman" w:hAnsi="Arial" w:cs="Arial"/>
                <w:color w:val="000000"/>
                <w:sz w:val="20"/>
                <w:szCs w:val="20"/>
                <w:lang w:eastAsia="es-CO"/>
              </w:rPr>
              <w:t>ación po</w:t>
            </w:r>
            <w:r>
              <w:rPr>
                <w:rFonts w:ascii="Arial" w:eastAsia="Times New Roman" w:hAnsi="Arial" w:cs="Arial"/>
                <w:color w:val="000000"/>
                <w:sz w:val="20"/>
                <w:szCs w:val="20"/>
                <w:lang w:eastAsia="es-CO"/>
              </w:rPr>
              <w:t>r</w:t>
            </w:r>
            <w:r w:rsidRPr="00667AE7">
              <w:rPr>
                <w:rFonts w:ascii="Arial" w:eastAsia="Times New Roman" w:hAnsi="Arial" w:cs="Arial"/>
                <w:color w:val="000000"/>
                <w:sz w:val="20"/>
                <w:szCs w:val="20"/>
                <w:lang w:eastAsia="es-CO"/>
              </w:rPr>
              <w:t xml:space="preserve"> sumas diferentes a las establecidas dentro del contrato de concurrencia.</w:t>
            </w:r>
          </w:p>
        </w:tc>
        <w:tc>
          <w:tcPr>
            <w:tcW w:w="2586" w:type="dxa"/>
            <w:vMerge/>
            <w:tcBorders>
              <w:top w:val="nil"/>
              <w:left w:val="single" w:sz="4" w:space="0" w:color="auto"/>
              <w:bottom w:val="single" w:sz="4" w:space="0" w:color="auto"/>
              <w:right w:val="single" w:sz="4" w:space="0" w:color="auto"/>
            </w:tcBorders>
            <w:vAlign w:val="center"/>
            <w:hideMark/>
          </w:tcPr>
          <w:p w14:paraId="33B795FE"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1764" w:type="dxa"/>
            <w:vMerge/>
            <w:tcBorders>
              <w:top w:val="nil"/>
              <w:left w:val="single" w:sz="4" w:space="0" w:color="auto"/>
              <w:bottom w:val="single" w:sz="4" w:space="0" w:color="000000"/>
              <w:right w:val="single" w:sz="4" w:space="0" w:color="auto"/>
            </w:tcBorders>
            <w:vAlign w:val="center"/>
            <w:hideMark/>
          </w:tcPr>
          <w:p w14:paraId="2501F370"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2094" w:type="dxa"/>
            <w:vMerge/>
            <w:tcBorders>
              <w:top w:val="nil"/>
              <w:left w:val="single" w:sz="4" w:space="0" w:color="auto"/>
              <w:bottom w:val="single" w:sz="4" w:space="0" w:color="000000"/>
              <w:right w:val="single" w:sz="4" w:space="0" w:color="auto"/>
            </w:tcBorders>
            <w:vAlign w:val="center"/>
            <w:hideMark/>
          </w:tcPr>
          <w:p w14:paraId="56E4D213"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3440" w:type="dxa"/>
            <w:vMerge/>
            <w:tcBorders>
              <w:top w:val="nil"/>
              <w:left w:val="single" w:sz="4" w:space="0" w:color="auto"/>
              <w:bottom w:val="single" w:sz="4" w:space="0" w:color="000000"/>
              <w:right w:val="single" w:sz="4" w:space="0" w:color="auto"/>
            </w:tcBorders>
            <w:vAlign w:val="center"/>
            <w:hideMark/>
          </w:tcPr>
          <w:p w14:paraId="235BFA32"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2514" w:type="dxa"/>
            <w:vMerge/>
            <w:tcBorders>
              <w:top w:val="nil"/>
              <w:left w:val="single" w:sz="4" w:space="0" w:color="auto"/>
              <w:bottom w:val="single" w:sz="4" w:space="0" w:color="000000"/>
              <w:right w:val="single" w:sz="4" w:space="0" w:color="auto"/>
            </w:tcBorders>
            <w:vAlign w:val="center"/>
            <w:hideMark/>
          </w:tcPr>
          <w:p w14:paraId="1A9A1B18"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r>
      <w:tr w:rsidR="0066083E" w:rsidRPr="00667AE7" w14:paraId="346CBC27" w14:textId="77777777" w:rsidTr="00667AE7">
        <w:trPr>
          <w:trHeight w:val="1332"/>
        </w:trPr>
        <w:tc>
          <w:tcPr>
            <w:tcW w:w="557" w:type="dxa"/>
            <w:vMerge/>
            <w:tcBorders>
              <w:top w:val="nil"/>
              <w:left w:val="single" w:sz="4" w:space="0" w:color="auto"/>
              <w:bottom w:val="single" w:sz="4" w:space="0" w:color="auto"/>
              <w:right w:val="single" w:sz="4" w:space="0" w:color="auto"/>
            </w:tcBorders>
            <w:vAlign w:val="center"/>
            <w:hideMark/>
          </w:tcPr>
          <w:p w14:paraId="2CE4F46B" w14:textId="77777777" w:rsidR="0066083E" w:rsidRPr="00667AE7" w:rsidRDefault="0066083E" w:rsidP="0066083E">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66817D44"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Certificar o avalar que se efectuaron pagos ficticios, de las obligaciones contenidas en los contratos de concurrencia generando paz y salvos de la deuda para favorecer a alguna de las partes contratantes</w:t>
            </w:r>
          </w:p>
        </w:tc>
        <w:tc>
          <w:tcPr>
            <w:tcW w:w="2586" w:type="dxa"/>
            <w:vMerge/>
            <w:tcBorders>
              <w:top w:val="nil"/>
              <w:left w:val="single" w:sz="4" w:space="0" w:color="auto"/>
              <w:bottom w:val="single" w:sz="4" w:space="0" w:color="auto"/>
              <w:right w:val="single" w:sz="4" w:space="0" w:color="auto"/>
            </w:tcBorders>
            <w:vAlign w:val="center"/>
            <w:hideMark/>
          </w:tcPr>
          <w:p w14:paraId="10AF9616"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1764" w:type="dxa"/>
            <w:tcBorders>
              <w:top w:val="nil"/>
              <w:left w:val="nil"/>
              <w:bottom w:val="single" w:sz="4" w:space="0" w:color="auto"/>
              <w:right w:val="single" w:sz="4" w:space="0" w:color="auto"/>
            </w:tcBorders>
            <w:shd w:val="clear" w:color="000000" w:fill="FFFFFF"/>
            <w:vAlign w:val="center"/>
            <w:hideMark/>
          </w:tcPr>
          <w:p w14:paraId="3B1D918D"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Revisar la información y cotejarla con los soportes documentales</w:t>
            </w:r>
          </w:p>
        </w:tc>
        <w:tc>
          <w:tcPr>
            <w:tcW w:w="2094" w:type="dxa"/>
            <w:tcBorders>
              <w:top w:val="nil"/>
              <w:left w:val="nil"/>
              <w:bottom w:val="single" w:sz="4" w:space="0" w:color="auto"/>
              <w:right w:val="single" w:sz="4" w:space="0" w:color="auto"/>
            </w:tcBorders>
            <w:shd w:val="clear" w:color="000000" w:fill="FFFFFF"/>
            <w:vAlign w:val="center"/>
            <w:hideMark/>
          </w:tcPr>
          <w:p w14:paraId="7865939A" w14:textId="77777777" w:rsidR="0066083E"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El control establece su propósito para evitar la materialización del riesgo. </w:t>
            </w:r>
          </w:p>
          <w:p w14:paraId="6BDC82CA"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tcBorders>
              <w:top w:val="nil"/>
              <w:left w:val="nil"/>
              <w:bottom w:val="single" w:sz="4" w:space="0" w:color="auto"/>
              <w:right w:val="single" w:sz="4" w:space="0" w:color="auto"/>
            </w:tcBorders>
            <w:shd w:val="clear" w:color="000000" w:fill="FFFFFF"/>
            <w:vAlign w:val="center"/>
            <w:hideMark/>
          </w:tcPr>
          <w:p w14:paraId="0592655D"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De acuerdo con lo comentado por el </w:t>
            </w:r>
            <w:r>
              <w:rPr>
                <w:rFonts w:ascii="Arial" w:eastAsia="Times New Roman" w:hAnsi="Arial" w:cs="Arial"/>
                <w:color w:val="000000"/>
                <w:sz w:val="20"/>
                <w:szCs w:val="20"/>
                <w:lang w:eastAsia="es-CO"/>
              </w:rPr>
              <w:t>proceso</w:t>
            </w:r>
            <w:r w:rsidRPr="00667AE7">
              <w:rPr>
                <w:rFonts w:ascii="Arial" w:eastAsia="Times New Roman" w:hAnsi="Arial" w:cs="Arial"/>
                <w:color w:val="000000"/>
                <w:sz w:val="20"/>
                <w:szCs w:val="20"/>
                <w:lang w:eastAsia="es-CO"/>
              </w:rPr>
              <w:t xml:space="preserve"> en el SMGI, durante el periodo evaluado se realizaron revisiones por parte de la </w:t>
            </w:r>
            <w:r>
              <w:rPr>
                <w:rFonts w:ascii="Arial" w:eastAsia="Times New Roman" w:hAnsi="Arial" w:cs="Arial"/>
                <w:color w:val="000000"/>
                <w:sz w:val="20"/>
                <w:szCs w:val="20"/>
                <w:lang w:eastAsia="es-CO"/>
              </w:rPr>
              <w:t>S</w:t>
            </w:r>
            <w:r w:rsidRPr="00667AE7">
              <w:rPr>
                <w:rFonts w:ascii="Arial" w:eastAsia="Times New Roman" w:hAnsi="Arial" w:cs="Arial"/>
                <w:color w:val="000000"/>
                <w:sz w:val="20"/>
                <w:szCs w:val="20"/>
                <w:lang w:eastAsia="es-CO"/>
              </w:rPr>
              <w:t xml:space="preserve">ubdirección de </w:t>
            </w:r>
            <w:r>
              <w:rPr>
                <w:rFonts w:ascii="Arial" w:eastAsia="Times New Roman" w:hAnsi="Arial" w:cs="Arial"/>
                <w:color w:val="000000"/>
                <w:sz w:val="20"/>
                <w:szCs w:val="20"/>
                <w:lang w:eastAsia="es-CO"/>
              </w:rPr>
              <w:t>P</w:t>
            </w:r>
            <w:r w:rsidRPr="00667AE7">
              <w:rPr>
                <w:rFonts w:ascii="Arial" w:eastAsia="Times New Roman" w:hAnsi="Arial" w:cs="Arial"/>
                <w:color w:val="000000"/>
                <w:sz w:val="20"/>
                <w:szCs w:val="20"/>
                <w:lang w:eastAsia="es-CO"/>
              </w:rPr>
              <w:t xml:space="preserve">ensiones y de la Dirección de la </w:t>
            </w:r>
            <w:r>
              <w:rPr>
                <w:rFonts w:ascii="Arial" w:eastAsia="Times New Roman" w:hAnsi="Arial" w:cs="Arial"/>
                <w:color w:val="000000"/>
                <w:sz w:val="20"/>
                <w:szCs w:val="20"/>
                <w:lang w:eastAsia="es-CO"/>
              </w:rPr>
              <w:t>i</w:t>
            </w:r>
            <w:r w:rsidRPr="00667AE7">
              <w:rPr>
                <w:rFonts w:ascii="Arial" w:eastAsia="Times New Roman" w:hAnsi="Arial" w:cs="Arial"/>
                <w:color w:val="000000"/>
                <w:sz w:val="20"/>
                <w:szCs w:val="20"/>
                <w:lang w:eastAsia="es-CO"/>
              </w:rPr>
              <w:t>nformación antes de la firma del viceministro. Se ejecutaron revisiones de los asesores jurídicos y economistas sobre cada una de las materias de su competencia. Se observaron  soportes relacionados con actividades ejecutadas por los actores</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 xml:space="preserve"> en cumplimiento del control. </w:t>
            </w:r>
          </w:p>
        </w:tc>
        <w:tc>
          <w:tcPr>
            <w:tcW w:w="2514" w:type="dxa"/>
            <w:tcBorders>
              <w:top w:val="nil"/>
              <w:left w:val="nil"/>
              <w:bottom w:val="single" w:sz="4" w:space="0" w:color="auto"/>
              <w:right w:val="single" w:sz="4" w:space="0" w:color="auto"/>
            </w:tcBorders>
            <w:shd w:val="clear" w:color="000000" w:fill="FFFFFF"/>
            <w:vAlign w:val="center"/>
            <w:hideMark/>
          </w:tcPr>
          <w:p w14:paraId="11C101BF" w14:textId="6FBB9602" w:rsidR="0066083E" w:rsidRPr="00667AE7" w:rsidRDefault="005E746A"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 xml:space="preserve">segundo cuatrimestre de la vigencia 2021. </w:t>
            </w:r>
            <w:r w:rsidR="0066083E">
              <w:rPr>
                <w:rFonts w:ascii="Arial" w:eastAsia="Times New Roman" w:hAnsi="Arial" w:cs="Arial"/>
                <w:color w:val="000000"/>
                <w:sz w:val="20"/>
                <w:szCs w:val="20"/>
                <w:lang w:eastAsia="es-CO"/>
              </w:rPr>
              <w:t xml:space="preserve">  </w:t>
            </w:r>
          </w:p>
        </w:tc>
      </w:tr>
      <w:tr w:rsidR="0066083E" w:rsidRPr="00667AE7" w14:paraId="52267E41" w14:textId="77777777" w:rsidTr="00667AE7">
        <w:trPr>
          <w:trHeight w:val="3317"/>
        </w:trPr>
        <w:tc>
          <w:tcPr>
            <w:tcW w:w="5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7AEDBF" w14:textId="77777777" w:rsidR="0066083E" w:rsidRPr="00667AE7" w:rsidRDefault="0066083E" w:rsidP="0066083E">
            <w:pPr>
              <w:spacing w:after="0" w:line="240" w:lineRule="auto"/>
              <w:jc w:val="center"/>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11</w:t>
            </w:r>
          </w:p>
        </w:tc>
        <w:tc>
          <w:tcPr>
            <w:tcW w:w="2639" w:type="dxa"/>
            <w:tcBorders>
              <w:top w:val="nil"/>
              <w:left w:val="nil"/>
              <w:bottom w:val="single" w:sz="4" w:space="0" w:color="auto"/>
              <w:right w:val="single" w:sz="4" w:space="0" w:color="auto"/>
            </w:tcBorders>
            <w:shd w:val="clear" w:color="000000" w:fill="FFFFFF"/>
            <w:vAlign w:val="center"/>
            <w:hideMark/>
          </w:tcPr>
          <w:p w14:paraId="68FFA076"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Presiones por parte de asesores, representantes de las entidades territoriales para tramitar el retiro de los recursos del Fondo.</w:t>
            </w: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BBB42C"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R45</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información/</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documentación oculta o modificada para beneficio propio o de terceros.</w:t>
            </w:r>
          </w:p>
        </w:tc>
        <w:tc>
          <w:tcPr>
            <w:tcW w:w="1764" w:type="dxa"/>
            <w:tcBorders>
              <w:top w:val="nil"/>
              <w:left w:val="nil"/>
              <w:bottom w:val="single" w:sz="4" w:space="0" w:color="auto"/>
              <w:right w:val="single" w:sz="4" w:space="0" w:color="auto"/>
            </w:tcBorders>
            <w:shd w:val="clear" w:color="000000" w:fill="FFFFFF"/>
            <w:vAlign w:val="center"/>
            <w:hideMark/>
          </w:tcPr>
          <w:p w14:paraId="08FBC5A4"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Atención de los trámites y canales de comunicación con entidades territoriales</w:t>
            </w:r>
          </w:p>
        </w:tc>
        <w:tc>
          <w:tcPr>
            <w:tcW w:w="2094" w:type="dxa"/>
            <w:tcBorders>
              <w:top w:val="nil"/>
              <w:left w:val="nil"/>
              <w:bottom w:val="single" w:sz="4" w:space="0" w:color="auto"/>
              <w:right w:val="single" w:sz="4" w:space="0" w:color="auto"/>
            </w:tcBorders>
            <w:shd w:val="clear" w:color="000000" w:fill="FFFFFF"/>
            <w:vAlign w:val="center"/>
            <w:hideMark/>
          </w:tcPr>
          <w:p w14:paraId="3DD9ED42" w14:textId="77777777" w:rsidR="0066083E"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El control establece su propósito para evitar la materialización del riesgo. </w:t>
            </w:r>
          </w:p>
          <w:p w14:paraId="6C6FDE28"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tcBorders>
              <w:top w:val="nil"/>
              <w:left w:val="nil"/>
              <w:bottom w:val="single" w:sz="4" w:space="0" w:color="auto"/>
              <w:right w:val="single" w:sz="4" w:space="0" w:color="auto"/>
            </w:tcBorders>
            <w:shd w:val="clear" w:color="000000" w:fill="FFFFFF"/>
            <w:vAlign w:val="center"/>
            <w:hideMark/>
          </w:tcPr>
          <w:p w14:paraId="1AAA94ED" w14:textId="77777777" w:rsidR="0066083E"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Conforme lo reportado por el </w:t>
            </w:r>
            <w:r>
              <w:rPr>
                <w:rFonts w:ascii="Arial" w:eastAsia="Times New Roman" w:hAnsi="Arial" w:cs="Arial"/>
                <w:color w:val="000000"/>
                <w:sz w:val="20"/>
                <w:szCs w:val="20"/>
                <w:lang w:eastAsia="es-CO"/>
              </w:rPr>
              <w:t>proceso</w:t>
            </w:r>
            <w:r w:rsidRPr="00667AE7">
              <w:rPr>
                <w:rFonts w:ascii="Arial" w:eastAsia="Times New Roman" w:hAnsi="Arial" w:cs="Arial"/>
                <w:color w:val="000000"/>
                <w:sz w:val="20"/>
                <w:szCs w:val="20"/>
                <w:lang w:eastAsia="es-CO"/>
              </w:rPr>
              <w:t xml:space="preserve"> en el SMGI, en el periodo evaluado se adelantó la socialización de todas las comunicaciones sobre la información referente a atención de trámites y canales de </w:t>
            </w:r>
            <w:r>
              <w:rPr>
                <w:rFonts w:ascii="Arial" w:eastAsia="Times New Roman" w:hAnsi="Arial" w:cs="Arial"/>
                <w:color w:val="000000"/>
                <w:sz w:val="20"/>
                <w:szCs w:val="20"/>
                <w:lang w:eastAsia="es-CO"/>
              </w:rPr>
              <w:t>atención</w:t>
            </w:r>
            <w:r w:rsidRPr="00667AE7">
              <w:rPr>
                <w:rFonts w:ascii="Arial" w:eastAsia="Times New Roman" w:hAnsi="Arial" w:cs="Arial"/>
                <w:color w:val="000000"/>
                <w:sz w:val="20"/>
                <w:szCs w:val="20"/>
                <w:lang w:eastAsia="es-CO"/>
              </w:rPr>
              <w:t xml:space="preserve">, se puso en operación y se capacitó a las entidades sobre el funcionamiento del nuevo CIAS para la atención de requerimientos. </w:t>
            </w:r>
          </w:p>
          <w:p w14:paraId="1D200D42"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Se evidenció radicado de información de puesta en marcha del  aplicativo Centro Integrado de Ayuda y Soporte para las entidades del orden</w:t>
            </w:r>
            <w:r w:rsidRPr="00667AE7">
              <w:rPr>
                <w:rFonts w:ascii="Arial" w:eastAsia="Times New Roman" w:hAnsi="Arial" w:cs="Arial"/>
                <w:color w:val="000000"/>
                <w:sz w:val="20"/>
                <w:szCs w:val="20"/>
                <w:lang w:eastAsia="es-CO"/>
              </w:rPr>
              <w:br/>
              <w:t xml:space="preserve">central. </w:t>
            </w:r>
          </w:p>
        </w:tc>
        <w:tc>
          <w:tcPr>
            <w:tcW w:w="2514" w:type="dxa"/>
            <w:tcBorders>
              <w:top w:val="nil"/>
              <w:left w:val="nil"/>
              <w:bottom w:val="single" w:sz="4" w:space="0" w:color="auto"/>
              <w:right w:val="single" w:sz="4" w:space="0" w:color="auto"/>
            </w:tcBorders>
            <w:shd w:val="clear" w:color="000000" w:fill="FFFFFF"/>
            <w:vAlign w:val="center"/>
            <w:hideMark/>
          </w:tcPr>
          <w:p w14:paraId="4E2DE7E8" w14:textId="0AB879C3" w:rsidR="0066083E" w:rsidRPr="00667AE7" w:rsidRDefault="005E746A"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segundo cuatrimestre de la vigencia 2021.</w:t>
            </w:r>
          </w:p>
        </w:tc>
      </w:tr>
      <w:tr w:rsidR="0066083E" w:rsidRPr="00667AE7" w14:paraId="01F24B68" w14:textId="77777777" w:rsidTr="00667AE7">
        <w:trPr>
          <w:trHeight w:val="2749"/>
        </w:trPr>
        <w:tc>
          <w:tcPr>
            <w:tcW w:w="557" w:type="dxa"/>
            <w:vMerge/>
            <w:tcBorders>
              <w:top w:val="nil"/>
              <w:left w:val="single" w:sz="4" w:space="0" w:color="auto"/>
              <w:bottom w:val="single" w:sz="4" w:space="0" w:color="auto"/>
              <w:right w:val="single" w:sz="4" w:space="0" w:color="auto"/>
            </w:tcBorders>
            <w:vAlign w:val="center"/>
            <w:hideMark/>
          </w:tcPr>
          <w:p w14:paraId="29C66EB0" w14:textId="77777777" w:rsidR="0066083E" w:rsidRPr="00667AE7" w:rsidRDefault="0066083E" w:rsidP="0066083E">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3C911F11"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Presiones internas en el MHCP o de un superior jerárquico sobre los tramites o cambios en los tiempos de procesos o de retiro de recursos del Fondo o la aprobación de cálculos actuariales.</w:t>
            </w:r>
          </w:p>
        </w:tc>
        <w:tc>
          <w:tcPr>
            <w:tcW w:w="2586" w:type="dxa"/>
            <w:vMerge/>
            <w:tcBorders>
              <w:top w:val="nil"/>
              <w:left w:val="single" w:sz="4" w:space="0" w:color="auto"/>
              <w:bottom w:val="single" w:sz="4" w:space="0" w:color="auto"/>
              <w:right w:val="single" w:sz="4" w:space="0" w:color="auto"/>
            </w:tcBorders>
            <w:vAlign w:val="center"/>
            <w:hideMark/>
          </w:tcPr>
          <w:p w14:paraId="2661B3CE"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1764" w:type="dxa"/>
            <w:tcBorders>
              <w:top w:val="nil"/>
              <w:left w:val="nil"/>
              <w:bottom w:val="single" w:sz="4" w:space="0" w:color="auto"/>
              <w:right w:val="single" w:sz="4" w:space="0" w:color="auto"/>
            </w:tcBorders>
            <w:shd w:val="clear" w:color="000000" w:fill="FFFFFF"/>
            <w:vAlign w:val="center"/>
            <w:hideMark/>
          </w:tcPr>
          <w:p w14:paraId="0D3BBD81"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Control dual  en trámites y varias instancias en cálculo</w:t>
            </w:r>
          </w:p>
        </w:tc>
        <w:tc>
          <w:tcPr>
            <w:tcW w:w="2094" w:type="dxa"/>
            <w:tcBorders>
              <w:top w:val="nil"/>
              <w:left w:val="nil"/>
              <w:bottom w:val="single" w:sz="4" w:space="0" w:color="auto"/>
              <w:right w:val="single" w:sz="4" w:space="0" w:color="auto"/>
            </w:tcBorders>
            <w:shd w:val="clear" w:color="000000" w:fill="FFFFFF"/>
            <w:vAlign w:val="center"/>
            <w:hideMark/>
          </w:tcPr>
          <w:p w14:paraId="47E1C545" w14:textId="77777777" w:rsidR="0066083E"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El control establece su propósito para evitar la materialización del riesgo. </w:t>
            </w:r>
          </w:p>
          <w:p w14:paraId="3B59C5E1"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tcBorders>
              <w:top w:val="nil"/>
              <w:left w:val="nil"/>
              <w:bottom w:val="single" w:sz="4" w:space="0" w:color="auto"/>
              <w:right w:val="single" w:sz="4" w:space="0" w:color="auto"/>
            </w:tcBorders>
            <w:shd w:val="clear" w:color="000000" w:fill="FFFFFF"/>
            <w:vAlign w:val="center"/>
            <w:hideMark/>
          </w:tcPr>
          <w:p w14:paraId="7E090C18" w14:textId="77777777" w:rsidR="0066083E"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Según lo manifestado por el </w:t>
            </w:r>
            <w:r>
              <w:rPr>
                <w:rFonts w:ascii="Arial" w:eastAsia="Times New Roman" w:hAnsi="Arial" w:cs="Arial"/>
                <w:color w:val="000000"/>
                <w:sz w:val="20"/>
                <w:szCs w:val="20"/>
                <w:lang w:eastAsia="es-CO"/>
              </w:rPr>
              <w:t>proceso</w:t>
            </w:r>
            <w:r w:rsidRPr="00667AE7">
              <w:rPr>
                <w:rFonts w:ascii="Arial" w:eastAsia="Times New Roman" w:hAnsi="Arial" w:cs="Arial"/>
                <w:color w:val="000000"/>
                <w:sz w:val="20"/>
                <w:szCs w:val="20"/>
                <w:lang w:eastAsia="es-CO"/>
              </w:rPr>
              <w:t xml:space="preserve"> en el SMGI, durante </w:t>
            </w:r>
            <w:r>
              <w:rPr>
                <w:rFonts w:ascii="Arial" w:eastAsia="Times New Roman" w:hAnsi="Arial" w:cs="Arial"/>
                <w:color w:val="000000"/>
                <w:sz w:val="20"/>
                <w:szCs w:val="20"/>
                <w:lang w:eastAsia="es-CO"/>
              </w:rPr>
              <w:t xml:space="preserve">el </w:t>
            </w:r>
            <w:r w:rsidRPr="00667AE7">
              <w:rPr>
                <w:rFonts w:ascii="Arial" w:eastAsia="Times New Roman" w:hAnsi="Arial" w:cs="Arial"/>
                <w:color w:val="000000"/>
                <w:sz w:val="20"/>
                <w:szCs w:val="20"/>
                <w:lang w:eastAsia="es-CO"/>
              </w:rPr>
              <w:t xml:space="preserve">segundo cuatrimestre de 2021 se  realizó el control dual de la aprobación del cálculo actuarial para las entidades territoriales. </w:t>
            </w:r>
          </w:p>
          <w:p w14:paraId="3C22003C"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Se observó comunicación dirigida a entidades</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territoriales con información relacionada a</w:t>
            </w:r>
            <w:r>
              <w:rPr>
                <w:rFonts w:ascii="Arial" w:eastAsia="Times New Roman" w:hAnsi="Arial" w:cs="Arial"/>
                <w:color w:val="000000"/>
                <w:sz w:val="20"/>
                <w:szCs w:val="20"/>
                <w:lang w:eastAsia="es-CO"/>
              </w:rPr>
              <w:t xml:space="preserve">l </w:t>
            </w:r>
            <w:r w:rsidRPr="00667AE7">
              <w:rPr>
                <w:rFonts w:ascii="Arial" w:eastAsia="Times New Roman" w:hAnsi="Arial" w:cs="Arial"/>
                <w:color w:val="000000"/>
                <w:sz w:val="20"/>
                <w:szCs w:val="20"/>
                <w:lang w:eastAsia="es-CO"/>
              </w:rPr>
              <w:t xml:space="preserve"> PASIVOCOL 2021. </w:t>
            </w:r>
          </w:p>
        </w:tc>
        <w:tc>
          <w:tcPr>
            <w:tcW w:w="2514" w:type="dxa"/>
            <w:tcBorders>
              <w:top w:val="nil"/>
              <w:left w:val="nil"/>
              <w:bottom w:val="single" w:sz="4" w:space="0" w:color="auto"/>
              <w:right w:val="single" w:sz="4" w:space="0" w:color="auto"/>
            </w:tcBorders>
            <w:shd w:val="clear" w:color="000000" w:fill="FFFFFF"/>
            <w:vAlign w:val="center"/>
            <w:hideMark/>
          </w:tcPr>
          <w:p w14:paraId="7F6FE006"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De acuerdo con la ficha técnica del control</w:t>
            </w:r>
            <w:r>
              <w:rPr>
                <w:rFonts w:ascii="Arial" w:eastAsia="Times New Roman" w:hAnsi="Arial" w:cs="Arial"/>
                <w:color w:val="000000"/>
                <w:sz w:val="20"/>
                <w:szCs w:val="20"/>
                <w:lang w:eastAsia="es-CO"/>
              </w:rPr>
              <w:t>,</w:t>
            </w:r>
            <w:r w:rsidRPr="00667AE7">
              <w:rPr>
                <w:rFonts w:ascii="Arial" w:eastAsia="Times New Roman" w:hAnsi="Arial" w:cs="Arial"/>
                <w:color w:val="000000"/>
                <w:sz w:val="20"/>
                <w:szCs w:val="20"/>
                <w:lang w:eastAsia="es-CO"/>
              </w:rPr>
              <w:t xml:space="preserve"> </w:t>
            </w:r>
            <w:r>
              <w:rPr>
                <w:rFonts w:ascii="Arial" w:eastAsia="Times New Roman" w:hAnsi="Arial" w:cs="Arial"/>
                <w:color w:val="000000"/>
                <w:sz w:val="20"/>
                <w:szCs w:val="20"/>
                <w:lang w:eastAsia="es-CO"/>
              </w:rPr>
              <w:t>l</w:t>
            </w:r>
            <w:r w:rsidRPr="00667AE7">
              <w:rPr>
                <w:rFonts w:ascii="Arial" w:eastAsia="Times New Roman" w:hAnsi="Arial" w:cs="Arial"/>
                <w:color w:val="000000"/>
                <w:sz w:val="20"/>
                <w:szCs w:val="20"/>
                <w:lang w:eastAsia="es-CO"/>
              </w:rPr>
              <w:t>a</w:t>
            </w:r>
            <w:r>
              <w:rPr>
                <w:rFonts w:ascii="Arial" w:eastAsia="Times New Roman" w:hAnsi="Arial" w:cs="Arial"/>
                <w:color w:val="000000"/>
                <w:sz w:val="20"/>
                <w:szCs w:val="20"/>
                <w:lang w:eastAsia="es-CO"/>
              </w:rPr>
              <w:t>s</w:t>
            </w:r>
            <w:r w:rsidRPr="00667AE7">
              <w:rPr>
                <w:rFonts w:ascii="Arial" w:eastAsia="Times New Roman" w:hAnsi="Arial" w:cs="Arial"/>
                <w:color w:val="000000"/>
                <w:sz w:val="20"/>
                <w:szCs w:val="20"/>
                <w:lang w:eastAsia="es-CO"/>
              </w:rPr>
              <w:t xml:space="preserve"> evidencia</w:t>
            </w:r>
            <w:r>
              <w:rPr>
                <w:rFonts w:ascii="Arial" w:eastAsia="Times New Roman" w:hAnsi="Arial" w:cs="Arial"/>
                <w:color w:val="000000"/>
                <w:sz w:val="20"/>
                <w:szCs w:val="20"/>
                <w:lang w:eastAsia="es-CO"/>
              </w:rPr>
              <w:t>s</w:t>
            </w:r>
            <w:r w:rsidRPr="00667AE7">
              <w:rPr>
                <w:rFonts w:ascii="Arial" w:eastAsia="Times New Roman" w:hAnsi="Arial" w:cs="Arial"/>
                <w:color w:val="000000"/>
                <w:sz w:val="20"/>
                <w:szCs w:val="20"/>
                <w:lang w:eastAsia="es-CO"/>
              </w:rPr>
              <w:t xml:space="preserve"> de su ejecución son "</w:t>
            </w:r>
            <w:r w:rsidRPr="00667AE7">
              <w:rPr>
                <w:rFonts w:ascii="Arial" w:eastAsia="Times New Roman" w:hAnsi="Arial" w:cs="Arial"/>
                <w:i/>
                <w:iCs/>
                <w:color w:val="000000"/>
                <w:sz w:val="20"/>
                <w:szCs w:val="20"/>
                <w:lang w:eastAsia="es-CO"/>
              </w:rPr>
              <w:t>Actas de comité actuarial, planillas de seguimiento de autorización de retiros."</w:t>
            </w:r>
            <w:r w:rsidRPr="00667AE7">
              <w:rPr>
                <w:rFonts w:ascii="Arial" w:eastAsia="Times New Roman" w:hAnsi="Arial" w:cs="Arial"/>
                <w:color w:val="000000"/>
                <w:sz w:val="20"/>
                <w:szCs w:val="20"/>
                <w:lang w:eastAsia="es-CO"/>
              </w:rPr>
              <w:t xml:space="preserve"> sin embargo, el proceso relacionó como </w:t>
            </w:r>
            <w:r>
              <w:rPr>
                <w:rFonts w:ascii="Arial" w:eastAsia="Times New Roman" w:hAnsi="Arial" w:cs="Arial"/>
                <w:color w:val="000000"/>
                <w:sz w:val="20"/>
                <w:szCs w:val="20"/>
                <w:lang w:eastAsia="es-CO"/>
              </w:rPr>
              <w:t>soporte</w:t>
            </w:r>
            <w:r w:rsidRPr="00667AE7">
              <w:rPr>
                <w:rFonts w:ascii="Arial" w:eastAsia="Times New Roman" w:hAnsi="Arial" w:cs="Arial"/>
                <w:color w:val="000000"/>
                <w:sz w:val="20"/>
                <w:szCs w:val="20"/>
                <w:lang w:eastAsia="es-CO"/>
              </w:rPr>
              <w:t xml:space="preserve"> una </w:t>
            </w:r>
            <w:r>
              <w:rPr>
                <w:rFonts w:ascii="Arial" w:eastAsia="Times New Roman" w:hAnsi="Arial" w:cs="Arial"/>
                <w:color w:val="000000"/>
                <w:sz w:val="20"/>
                <w:szCs w:val="20"/>
                <w:lang w:eastAsia="es-CO"/>
              </w:rPr>
              <w:t>c</w:t>
            </w:r>
            <w:r w:rsidRPr="00667AE7">
              <w:rPr>
                <w:rFonts w:ascii="Arial" w:eastAsia="Times New Roman" w:hAnsi="Arial" w:cs="Arial"/>
                <w:color w:val="000000"/>
                <w:sz w:val="20"/>
                <w:szCs w:val="20"/>
                <w:lang w:eastAsia="es-CO"/>
              </w:rPr>
              <w:t xml:space="preserve">ircular de entrega de información del FONPET y PASIVOCOL, por lo que se </w:t>
            </w:r>
            <w:r w:rsidRPr="00667AE7">
              <w:rPr>
                <w:rFonts w:ascii="Arial" w:eastAsia="Times New Roman" w:hAnsi="Arial" w:cs="Arial"/>
                <w:b/>
                <w:bCs/>
                <w:color w:val="000000"/>
                <w:sz w:val="20"/>
                <w:szCs w:val="20"/>
                <w:lang w:eastAsia="es-CO"/>
              </w:rPr>
              <w:t xml:space="preserve">recomienda </w:t>
            </w:r>
            <w:r w:rsidRPr="00667AE7">
              <w:rPr>
                <w:rFonts w:ascii="Arial" w:eastAsia="Times New Roman" w:hAnsi="Arial" w:cs="Arial"/>
                <w:color w:val="000000"/>
                <w:sz w:val="20"/>
                <w:szCs w:val="20"/>
                <w:lang w:eastAsia="es-CO"/>
              </w:rPr>
              <w:t xml:space="preserve">que la evidencia </w:t>
            </w:r>
            <w:r>
              <w:rPr>
                <w:rFonts w:ascii="Arial" w:eastAsia="Times New Roman" w:hAnsi="Arial" w:cs="Arial"/>
                <w:color w:val="000000"/>
                <w:sz w:val="20"/>
                <w:szCs w:val="20"/>
                <w:lang w:eastAsia="es-CO"/>
              </w:rPr>
              <w:t>subida</w:t>
            </w:r>
            <w:r w:rsidRPr="00667AE7">
              <w:rPr>
                <w:rFonts w:ascii="Arial" w:eastAsia="Times New Roman" w:hAnsi="Arial" w:cs="Arial"/>
                <w:color w:val="000000"/>
                <w:sz w:val="20"/>
                <w:szCs w:val="20"/>
                <w:lang w:eastAsia="es-CO"/>
              </w:rPr>
              <w:t xml:space="preserve"> </w:t>
            </w:r>
            <w:r>
              <w:rPr>
                <w:rFonts w:ascii="Arial" w:eastAsia="Times New Roman" w:hAnsi="Arial" w:cs="Arial"/>
                <w:color w:val="000000"/>
                <w:sz w:val="20"/>
                <w:szCs w:val="20"/>
                <w:lang w:eastAsia="es-CO"/>
              </w:rPr>
              <w:t>a</w:t>
            </w:r>
            <w:r w:rsidRPr="00667AE7">
              <w:rPr>
                <w:rFonts w:ascii="Arial" w:eastAsia="Times New Roman" w:hAnsi="Arial" w:cs="Arial"/>
                <w:color w:val="000000"/>
                <w:sz w:val="20"/>
                <w:szCs w:val="20"/>
                <w:lang w:eastAsia="es-CO"/>
              </w:rPr>
              <w:t xml:space="preserve">l SMGI corresponda a aquella que se estableció para el control. </w:t>
            </w:r>
          </w:p>
        </w:tc>
      </w:tr>
      <w:tr w:rsidR="0066083E" w:rsidRPr="00667AE7" w14:paraId="67F253FE" w14:textId="77777777" w:rsidTr="003E0E08">
        <w:trPr>
          <w:trHeight w:val="1358"/>
        </w:trPr>
        <w:tc>
          <w:tcPr>
            <w:tcW w:w="557" w:type="dxa"/>
            <w:vMerge/>
            <w:tcBorders>
              <w:top w:val="nil"/>
              <w:left w:val="single" w:sz="4" w:space="0" w:color="auto"/>
              <w:bottom w:val="single" w:sz="4" w:space="0" w:color="auto"/>
              <w:right w:val="single" w:sz="4" w:space="0" w:color="auto"/>
            </w:tcBorders>
            <w:vAlign w:val="center"/>
            <w:hideMark/>
          </w:tcPr>
          <w:p w14:paraId="474386C2" w14:textId="77777777" w:rsidR="0066083E" w:rsidRPr="00667AE7" w:rsidRDefault="0066083E" w:rsidP="0066083E">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0495A03E"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Presiones externas de agentes políticos sobre los tramites o cambios en los tiempos de procesos o de retiro de recursos del Fondo o la aprobación de cálculos actuariales. </w:t>
            </w:r>
          </w:p>
        </w:tc>
        <w:tc>
          <w:tcPr>
            <w:tcW w:w="2586" w:type="dxa"/>
            <w:vMerge/>
            <w:tcBorders>
              <w:top w:val="nil"/>
              <w:left w:val="single" w:sz="4" w:space="0" w:color="auto"/>
              <w:bottom w:val="single" w:sz="4" w:space="0" w:color="auto"/>
              <w:right w:val="single" w:sz="4" w:space="0" w:color="auto"/>
            </w:tcBorders>
            <w:vAlign w:val="center"/>
            <w:hideMark/>
          </w:tcPr>
          <w:p w14:paraId="7B3113E1"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17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D4A922"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Para la atención de los trámites de retiro se han establecido políticas y procedimientos estándar que son dados a conocer a las entidades territoriales a través de normas legales, actos administrativos, cartilla de divulgación y comunicaciones.</w:t>
            </w:r>
          </w:p>
        </w:tc>
        <w:tc>
          <w:tcPr>
            <w:tcW w:w="20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6943B6" w14:textId="77777777" w:rsidR="0066083E"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El control establece su propósito para evitar la materialización del riesgo. </w:t>
            </w:r>
          </w:p>
          <w:p w14:paraId="1A57661A"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F4A3C7"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Conforme lo reportado por el </w:t>
            </w:r>
            <w:r>
              <w:rPr>
                <w:rFonts w:ascii="Arial" w:eastAsia="Times New Roman" w:hAnsi="Arial" w:cs="Arial"/>
                <w:color w:val="000000"/>
                <w:sz w:val="20"/>
                <w:szCs w:val="20"/>
                <w:lang w:eastAsia="es-CO"/>
              </w:rPr>
              <w:t xml:space="preserve">proceso </w:t>
            </w:r>
            <w:r w:rsidRPr="00667AE7">
              <w:rPr>
                <w:rFonts w:ascii="Arial" w:eastAsia="Times New Roman" w:hAnsi="Arial" w:cs="Arial"/>
                <w:color w:val="000000"/>
                <w:sz w:val="20"/>
                <w:szCs w:val="20"/>
                <w:lang w:eastAsia="es-CO"/>
              </w:rPr>
              <w:t xml:space="preserve"> en el SMGI, en el periodo evaluado se adelantó la socialización de todas las comunicaciones sobre la información referente a atención de trámites y canales de comunicación</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 xml:space="preserve">  Se evidenció Circular de entrega de información del FONPET y PASIVOCOL</w:t>
            </w:r>
            <w:r>
              <w:rPr>
                <w:rFonts w:ascii="Arial" w:eastAsia="Times New Roman" w:hAnsi="Arial" w:cs="Arial"/>
                <w:color w:val="000000"/>
                <w:sz w:val="20"/>
                <w:szCs w:val="20"/>
                <w:lang w:eastAsia="es-CO"/>
              </w:rPr>
              <w:t xml:space="preserve">. </w:t>
            </w:r>
          </w:p>
        </w:tc>
        <w:tc>
          <w:tcPr>
            <w:tcW w:w="25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8B8ECE" w14:textId="132EED21" w:rsidR="0066083E" w:rsidRPr="003E0E08" w:rsidRDefault="005E746A" w:rsidP="003E0E08">
            <w:pPr>
              <w:jc w:val="both"/>
              <w:rPr>
                <w:rFonts w:ascii="Arial" w:eastAsia="Times New Roman" w:hAnsi="Arial" w:cs="Arial"/>
                <w:i/>
                <w:color w:val="000000"/>
                <w:sz w:val="16"/>
                <w:szCs w:val="20"/>
                <w:lang w:eastAsia="es-CO"/>
              </w:rPr>
            </w:pPr>
            <w:r w:rsidRPr="00667AE7">
              <w:rPr>
                <w:rFonts w:ascii="Arial" w:eastAsia="Times New Roman" w:hAnsi="Arial" w:cs="Arial"/>
                <w:color w:val="000000"/>
                <w:sz w:val="20"/>
                <w:szCs w:val="20"/>
                <w:lang w:eastAsia="es-CO"/>
              </w:rPr>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segundo cuatrimestre de la vigencia 2021.</w:t>
            </w:r>
          </w:p>
        </w:tc>
      </w:tr>
      <w:tr w:rsidR="0066083E" w:rsidRPr="00667AE7" w14:paraId="401E3EF1" w14:textId="77777777" w:rsidTr="00667AE7">
        <w:trPr>
          <w:trHeight w:val="1324"/>
        </w:trPr>
        <w:tc>
          <w:tcPr>
            <w:tcW w:w="557" w:type="dxa"/>
            <w:vMerge/>
            <w:tcBorders>
              <w:top w:val="nil"/>
              <w:left w:val="single" w:sz="4" w:space="0" w:color="auto"/>
              <w:bottom w:val="single" w:sz="4" w:space="0" w:color="auto"/>
              <w:right w:val="single" w:sz="4" w:space="0" w:color="auto"/>
            </w:tcBorders>
            <w:vAlign w:val="center"/>
            <w:hideMark/>
          </w:tcPr>
          <w:p w14:paraId="568D2B56" w14:textId="77777777" w:rsidR="0066083E" w:rsidRPr="00667AE7" w:rsidRDefault="0066083E" w:rsidP="0066083E">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00C469F2"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Manipulación en la información para la autorización de giro a las entidades territoriales</w:t>
            </w:r>
          </w:p>
        </w:tc>
        <w:tc>
          <w:tcPr>
            <w:tcW w:w="2586" w:type="dxa"/>
            <w:vMerge/>
            <w:tcBorders>
              <w:top w:val="nil"/>
              <w:left w:val="single" w:sz="4" w:space="0" w:color="auto"/>
              <w:bottom w:val="single" w:sz="4" w:space="0" w:color="auto"/>
              <w:right w:val="single" w:sz="4" w:space="0" w:color="auto"/>
            </w:tcBorders>
            <w:vAlign w:val="center"/>
            <w:hideMark/>
          </w:tcPr>
          <w:p w14:paraId="0A212B61"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1764" w:type="dxa"/>
            <w:vMerge/>
            <w:tcBorders>
              <w:top w:val="nil"/>
              <w:left w:val="single" w:sz="4" w:space="0" w:color="auto"/>
              <w:bottom w:val="single" w:sz="4" w:space="0" w:color="000000"/>
              <w:right w:val="single" w:sz="4" w:space="0" w:color="auto"/>
            </w:tcBorders>
            <w:vAlign w:val="center"/>
            <w:hideMark/>
          </w:tcPr>
          <w:p w14:paraId="3589E023"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2094" w:type="dxa"/>
            <w:vMerge/>
            <w:tcBorders>
              <w:top w:val="nil"/>
              <w:left w:val="single" w:sz="4" w:space="0" w:color="auto"/>
              <w:bottom w:val="single" w:sz="4" w:space="0" w:color="000000"/>
              <w:right w:val="single" w:sz="4" w:space="0" w:color="auto"/>
            </w:tcBorders>
            <w:vAlign w:val="center"/>
            <w:hideMark/>
          </w:tcPr>
          <w:p w14:paraId="05687107"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3440" w:type="dxa"/>
            <w:vMerge/>
            <w:tcBorders>
              <w:top w:val="nil"/>
              <w:left w:val="single" w:sz="4" w:space="0" w:color="auto"/>
              <w:bottom w:val="single" w:sz="4" w:space="0" w:color="000000"/>
              <w:right w:val="single" w:sz="4" w:space="0" w:color="auto"/>
            </w:tcBorders>
            <w:vAlign w:val="center"/>
            <w:hideMark/>
          </w:tcPr>
          <w:p w14:paraId="12C4CE4C"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2514" w:type="dxa"/>
            <w:vMerge/>
            <w:tcBorders>
              <w:top w:val="nil"/>
              <w:left w:val="single" w:sz="4" w:space="0" w:color="auto"/>
              <w:bottom w:val="single" w:sz="4" w:space="0" w:color="000000"/>
              <w:right w:val="single" w:sz="4" w:space="0" w:color="auto"/>
            </w:tcBorders>
            <w:vAlign w:val="center"/>
            <w:hideMark/>
          </w:tcPr>
          <w:p w14:paraId="232AE84B"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r>
      <w:tr w:rsidR="0066083E" w:rsidRPr="00667AE7" w14:paraId="648D148B" w14:textId="77777777" w:rsidTr="00703C25">
        <w:trPr>
          <w:trHeight w:val="224"/>
        </w:trPr>
        <w:tc>
          <w:tcPr>
            <w:tcW w:w="5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617825" w14:textId="77777777" w:rsidR="0066083E" w:rsidRPr="00667AE7" w:rsidRDefault="0066083E" w:rsidP="0066083E">
            <w:pPr>
              <w:spacing w:after="0" w:line="240" w:lineRule="auto"/>
              <w:jc w:val="center"/>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12</w:t>
            </w:r>
          </w:p>
        </w:tc>
        <w:tc>
          <w:tcPr>
            <w:tcW w:w="2639" w:type="dxa"/>
            <w:tcBorders>
              <w:top w:val="nil"/>
              <w:left w:val="nil"/>
              <w:bottom w:val="single" w:sz="4" w:space="0" w:color="auto"/>
              <w:right w:val="single" w:sz="4" w:space="0" w:color="auto"/>
            </w:tcBorders>
            <w:shd w:val="clear" w:color="000000" w:fill="FFFFFF"/>
            <w:vAlign w:val="center"/>
            <w:hideMark/>
          </w:tcPr>
          <w:p w14:paraId="2D4B000E"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Durante la asesoría se negocien condiciones para adulterar el cálculo actuarial</w:t>
            </w: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4DE00B"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R46 Para beneficio propio, de tercero o de la entidad cuyo pasivo se valida, ocultar o adulterar información y/o documentación.</w:t>
            </w:r>
          </w:p>
        </w:tc>
        <w:tc>
          <w:tcPr>
            <w:tcW w:w="17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98E05D"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Directrices que establecen cómo se debe realizar la debida cuantificación del pasivo pensional</w:t>
            </w:r>
          </w:p>
        </w:tc>
        <w:tc>
          <w:tcPr>
            <w:tcW w:w="20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E40582" w14:textId="77777777" w:rsidR="0066083E"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El control establece su propósito para evitar la materialización del riesgo. </w:t>
            </w:r>
          </w:p>
          <w:p w14:paraId="48B42F22"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lastRenderedPageBreak/>
              <w:t>Está relacionado con causas identificadas.</w:t>
            </w:r>
          </w:p>
        </w:tc>
        <w:tc>
          <w:tcPr>
            <w:tcW w:w="34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80FC33"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lastRenderedPageBreak/>
              <w:t xml:space="preserve">De acuerdo con lo reportado por el </w:t>
            </w:r>
            <w:r>
              <w:rPr>
                <w:rFonts w:ascii="Arial" w:eastAsia="Times New Roman" w:hAnsi="Arial" w:cs="Arial"/>
                <w:color w:val="000000"/>
                <w:sz w:val="20"/>
                <w:szCs w:val="20"/>
                <w:lang w:eastAsia="es-CO"/>
              </w:rPr>
              <w:t>proceso</w:t>
            </w:r>
            <w:r w:rsidRPr="00667AE7">
              <w:rPr>
                <w:rFonts w:ascii="Arial" w:eastAsia="Times New Roman" w:hAnsi="Arial" w:cs="Arial"/>
                <w:color w:val="000000"/>
                <w:sz w:val="20"/>
                <w:szCs w:val="20"/>
                <w:lang w:eastAsia="es-CO"/>
              </w:rPr>
              <w:t xml:space="preserve"> en el SMGI, durante el segundo cuatrimestre de 2021, la fórmula actuarial aplicada fue la establecida por las normas vigentes en la materia. Se evidenciaron </w:t>
            </w:r>
            <w:r w:rsidRPr="00667AE7">
              <w:rPr>
                <w:rFonts w:ascii="Arial" w:eastAsia="Times New Roman" w:hAnsi="Arial" w:cs="Arial"/>
                <w:color w:val="000000"/>
                <w:sz w:val="20"/>
                <w:szCs w:val="20"/>
                <w:lang w:eastAsia="es-CO"/>
              </w:rPr>
              <w:lastRenderedPageBreak/>
              <w:t xml:space="preserve">soportes de los cálculos realizados en el periodo. </w:t>
            </w:r>
          </w:p>
        </w:tc>
        <w:tc>
          <w:tcPr>
            <w:tcW w:w="25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62275E" w14:textId="195D6FCF" w:rsidR="0066083E" w:rsidRPr="00667AE7" w:rsidRDefault="005E746A"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lastRenderedPageBreak/>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segundo cuatrimestre de la vigencia 2021.</w:t>
            </w:r>
          </w:p>
        </w:tc>
      </w:tr>
      <w:tr w:rsidR="0066083E" w:rsidRPr="00667AE7" w14:paraId="1C8FB1AA" w14:textId="77777777" w:rsidTr="00667AE7">
        <w:trPr>
          <w:trHeight w:val="143"/>
        </w:trPr>
        <w:tc>
          <w:tcPr>
            <w:tcW w:w="557" w:type="dxa"/>
            <w:vMerge/>
            <w:tcBorders>
              <w:top w:val="nil"/>
              <w:left w:val="single" w:sz="4" w:space="0" w:color="auto"/>
              <w:bottom w:val="single" w:sz="4" w:space="0" w:color="auto"/>
              <w:right w:val="single" w:sz="4" w:space="0" w:color="auto"/>
            </w:tcBorders>
            <w:vAlign w:val="center"/>
            <w:hideMark/>
          </w:tcPr>
          <w:p w14:paraId="1359F8B5" w14:textId="77777777" w:rsidR="0066083E" w:rsidRPr="00667AE7" w:rsidRDefault="0066083E" w:rsidP="0066083E">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7DA6F3EB"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Sobornos para ocultar o adulterar información </w:t>
            </w:r>
            <w:r w:rsidRPr="00667AE7">
              <w:rPr>
                <w:rFonts w:ascii="Arial" w:eastAsia="Times New Roman" w:hAnsi="Arial" w:cs="Arial"/>
                <w:color w:val="000000"/>
                <w:sz w:val="20"/>
                <w:szCs w:val="20"/>
                <w:lang w:eastAsia="es-CO"/>
              </w:rPr>
              <w:lastRenderedPageBreak/>
              <w:t>acerca del pasivo pensional de la entidad</w:t>
            </w:r>
          </w:p>
        </w:tc>
        <w:tc>
          <w:tcPr>
            <w:tcW w:w="2586" w:type="dxa"/>
            <w:vMerge/>
            <w:tcBorders>
              <w:top w:val="nil"/>
              <w:left w:val="single" w:sz="4" w:space="0" w:color="auto"/>
              <w:bottom w:val="single" w:sz="4" w:space="0" w:color="auto"/>
              <w:right w:val="single" w:sz="4" w:space="0" w:color="auto"/>
            </w:tcBorders>
            <w:vAlign w:val="center"/>
            <w:hideMark/>
          </w:tcPr>
          <w:p w14:paraId="08E8791B"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1764" w:type="dxa"/>
            <w:vMerge/>
            <w:tcBorders>
              <w:top w:val="nil"/>
              <w:left w:val="single" w:sz="4" w:space="0" w:color="auto"/>
              <w:bottom w:val="single" w:sz="4" w:space="0" w:color="000000"/>
              <w:right w:val="single" w:sz="4" w:space="0" w:color="auto"/>
            </w:tcBorders>
            <w:vAlign w:val="center"/>
            <w:hideMark/>
          </w:tcPr>
          <w:p w14:paraId="597AC8AA"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2094" w:type="dxa"/>
            <w:vMerge/>
            <w:tcBorders>
              <w:top w:val="nil"/>
              <w:left w:val="single" w:sz="4" w:space="0" w:color="auto"/>
              <w:bottom w:val="single" w:sz="4" w:space="0" w:color="000000"/>
              <w:right w:val="single" w:sz="4" w:space="0" w:color="auto"/>
            </w:tcBorders>
            <w:vAlign w:val="center"/>
            <w:hideMark/>
          </w:tcPr>
          <w:p w14:paraId="56710304"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3440" w:type="dxa"/>
            <w:vMerge/>
            <w:tcBorders>
              <w:top w:val="nil"/>
              <w:left w:val="single" w:sz="4" w:space="0" w:color="auto"/>
              <w:bottom w:val="single" w:sz="4" w:space="0" w:color="000000"/>
              <w:right w:val="single" w:sz="4" w:space="0" w:color="auto"/>
            </w:tcBorders>
            <w:vAlign w:val="center"/>
            <w:hideMark/>
          </w:tcPr>
          <w:p w14:paraId="488D8173"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2514" w:type="dxa"/>
            <w:vMerge/>
            <w:tcBorders>
              <w:top w:val="nil"/>
              <w:left w:val="single" w:sz="4" w:space="0" w:color="auto"/>
              <w:bottom w:val="single" w:sz="4" w:space="0" w:color="000000"/>
              <w:right w:val="single" w:sz="4" w:space="0" w:color="auto"/>
            </w:tcBorders>
            <w:vAlign w:val="center"/>
            <w:hideMark/>
          </w:tcPr>
          <w:p w14:paraId="77AC002D"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r>
      <w:tr w:rsidR="0066083E" w:rsidRPr="00667AE7" w14:paraId="136B6D8A" w14:textId="77777777" w:rsidTr="00667AE7">
        <w:trPr>
          <w:trHeight w:val="788"/>
        </w:trPr>
        <w:tc>
          <w:tcPr>
            <w:tcW w:w="557" w:type="dxa"/>
            <w:vMerge/>
            <w:tcBorders>
              <w:top w:val="nil"/>
              <w:left w:val="single" w:sz="4" w:space="0" w:color="auto"/>
              <w:bottom w:val="single" w:sz="4" w:space="0" w:color="auto"/>
              <w:right w:val="single" w:sz="4" w:space="0" w:color="auto"/>
            </w:tcBorders>
            <w:vAlign w:val="center"/>
            <w:hideMark/>
          </w:tcPr>
          <w:p w14:paraId="4F9F8F36" w14:textId="77777777" w:rsidR="0066083E" w:rsidRPr="00667AE7" w:rsidRDefault="0066083E" w:rsidP="0066083E">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3745FD42"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Presiones externas o de un superior jerárquico, para el ocultamiento o modificación de información contenida en el cálculo actuarial o para la modificación del contrato de concurrencia o del decreto de liquidación de la entidad</w:t>
            </w:r>
          </w:p>
        </w:tc>
        <w:tc>
          <w:tcPr>
            <w:tcW w:w="2586" w:type="dxa"/>
            <w:vMerge/>
            <w:tcBorders>
              <w:top w:val="nil"/>
              <w:left w:val="single" w:sz="4" w:space="0" w:color="auto"/>
              <w:bottom w:val="single" w:sz="4" w:space="0" w:color="auto"/>
              <w:right w:val="single" w:sz="4" w:space="0" w:color="auto"/>
            </w:tcBorders>
            <w:vAlign w:val="center"/>
            <w:hideMark/>
          </w:tcPr>
          <w:p w14:paraId="1311A35F"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1764" w:type="dxa"/>
            <w:tcBorders>
              <w:top w:val="nil"/>
              <w:left w:val="nil"/>
              <w:bottom w:val="single" w:sz="4" w:space="0" w:color="auto"/>
              <w:right w:val="single" w:sz="4" w:space="0" w:color="auto"/>
            </w:tcBorders>
            <w:shd w:val="clear" w:color="000000" w:fill="FFFFFF"/>
            <w:vAlign w:val="center"/>
            <w:hideMark/>
          </w:tcPr>
          <w:p w14:paraId="26B5378C"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Revisión tanto jurídica como matemáticamente</w:t>
            </w:r>
          </w:p>
        </w:tc>
        <w:tc>
          <w:tcPr>
            <w:tcW w:w="2094" w:type="dxa"/>
            <w:tcBorders>
              <w:top w:val="nil"/>
              <w:left w:val="nil"/>
              <w:bottom w:val="single" w:sz="4" w:space="0" w:color="auto"/>
              <w:right w:val="single" w:sz="4" w:space="0" w:color="auto"/>
            </w:tcBorders>
            <w:shd w:val="clear" w:color="000000" w:fill="FFFFFF"/>
            <w:vAlign w:val="center"/>
            <w:hideMark/>
          </w:tcPr>
          <w:p w14:paraId="1120CD01" w14:textId="77777777" w:rsidR="0066083E"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El control establece su propósito para evitar la materialización del riesgo. </w:t>
            </w:r>
          </w:p>
          <w:p w14:paraId="32655C5B"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tcBorders>
              <w:top w:val="nil"/>
              <w:left w:val="nil"/>
              <w:bottom w:val="single" w:sz="4" w:space="0" w:color="auto"/>
              <w:right w:val="single" w:sz="4" w:space="0" w:color="auto"/>
            </w:tcBorders>
            <w:shd w:val="clear" w:color="000000" w:fill="FFFFFF"/>
            <w:vAlign w:val="center"/>
            <w:hideMark/>
          </w:tcPr>
          <w:p w14:paraId="7594E35A"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Según lo mencionado por el </w:t>
            </w:r>
            <w:r>
              <w:rPr>
                <w:rFonts w:ascii="Arial" w:eastAsia="Times New Roman" w:hAnsi="Arial" w:cs="Arial"/>
                <w:color w:val="000000"/>
                <w:sz w:val="20"/>
                <w:szCs w:val="20"/>
                <w:lang w:eastAsia="es-CO"/>
              </w:rPr>
              <w:t>proceso</w:t>
            </w:r>
            <w:r w:rsidRPr="00667AE7">
              <w:rPr>
                <w:rFonts w:ascii="Arial" w:eastAsia="Times New Roman" w:hAnsi="Arial" w:cs="Arial"/>
                <w:color w:val="000000"/>
                <w:sz w:val="20"/>
                <w:szCs w:val="20"/>
                <w:lang w:eastAsia="es-CO"/>
              </w:rPr>
              <w:t xml:space="preserve"> en el SMGI, en el periodo evaluado, los cálculos fueron revisados tanto jurídica como matemáticamente, por lo cual, todo lo jurídico que se encuentra incluido en cada cálculo corresponde al estudio realizado por el abogado. Se evidenciaron listas de chequeo y memorando</w:t>
            </w:r>
            <w:r>
              <w:rPr>
                <w:rFonts w:ascii="Arial" w:eastAsia="Times New Roman" w:hAnsi="Arial" w:cs="Arial"/>
                <w:color w:val="000000"/>
                <w:sz w:val="20"/>
                <w:szCs w:val="20"/>
                <w:lang w:eastAsia="es-CO"/>
              </w:rPr>
              <w:t>s</w:t>
            </w:r>
            <w:r w:rsidRPr="00667AE7">
              <w:rPr>
                <w:rFonts w:ascii="Arial" w:eastAsia="Times New Roman" w:hAnsi="Arial" w:cs="Arial"/>
                <w:color w:val="000000"/>
                <w:sz w:val="20"/>
                <w:szCs w:val="20"/>
                <w:lang w:eastAsia="es-CO"/>
              </w:rPr>
              <w:t xml:space="preserve"> con los cálculos efectuados. </w:t>
            </w:r>
          </w:p>
        </w:tc>
        <w:tc>
          <w:tcPr>
            <w:tcW w:w="2514" w:type="dxa"/>
            <w:tcBorders>
              <w:top w:val="nil"/>
              <w:left w:val="nil"/>
              <w:bottom w:val="single" w:sz="4" w:space="0" w:color="auto"/>
              <w:right w:val="single" w:sz="4" w:space="0" w:color="auto"/>
            </w:tcBorders>
            <w:shd w:val="clear" w:color="000000" w:fill="FFFFFF"/>
            <w:vAlign w:val="center"/>
            <w:hideMark/>
          </w:tcPr>
          <w:p w14:paraId="49A9D55F" w14:textId="2C9C698C" w:rsidR="0066083E" w:rsidRPr="00667AE7" w:rsidRDefault="005E746A"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segundo cuatrimestre de la vigencia 2021.</w:t>
            </w:r>
          </w:p>
        </w:tc>
      </w:tr>
      <w:tr w:rsidR="0066083E" w:rsidRPr="00667AE7" w14:paraId="5C10C800" w14:textId="77777777" w:rsidTr="00667AE7">
        <w:trPr>
          <w:trHeight w:val="1728"/>
        </w:trPr>
        <w:tc>
          <w:tcPr>
            <w:tcW w:w="5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55FA50" w14:textId="77777777" w:rsidR="0066083E" w:rsidRPr="00667AE7" w:rsidRDefault="0066083E" w:rsidP="0066083E">
            <w:pPr>
              <w:spacing w:after="0" w:line="240" w:lineRule="auto"/>
              <w:jc w:val="center"/>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13</w:t>
            </w:r>
          </w:p>
        </w:tc>
        <w:tc>
          <w:tcPr>
            <w:tcW w:w="2639" w:type="dxa"/>
            <w:tcBorders>
              <w:top w:val="nil"/>
              <w:left w:val="nil"/>
              <w:bottom w:val="single" w:sz="4" w:space="0" w:color="auto"/>
              <w:right w:val="single" w:sz="4" w:space="0" w:color="auto"/>
            </w:tcBorders>
            <w:shd w:val="clear" w:color="000000" w:fill="FFFFFF"/>
            <w:vAlign w:val="center"/>
            <w:hideMark/>
          </w:tcPr>
          <w:p w14:paraId="4C7084DC"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Manipulación los cálculos actuariales para beneficio propio o de terceros</w:t>
            </w:r>
          </w:p>
        </w:tc>
        <w:tc>
          <w:tcPr>
            <w:tcW w:w="258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A5D5CC"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R47 Validar pasivos pensionales que no se ajustan a la normatividad, en beneficio propio o de un tercero o de la entidad territorial</w:t>
            </w:r>
          </w:p>
        </w:tc>
        <w:tc>
          <w:tcPr>
            <w:tcW w:w="17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07BFD6"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Diferentes instancias de revisión</w:t>
            </w:r>
          </w:p>
        </w:tc>
        <w:tc>
          <w:tcPr>
            <w:tcW w:w="20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574E95" w14:textId="77777777" w:rsidR="0066083E"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El control establece su propósito para evitar la materialización del riesgo. </w:t>
            </w:r>
          </w:p>
          <w:p w14:paraId="206E7BCE"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9040DD" w14:textId="77777777" w:rsidR="0066083E"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De acuerdo con lo reportado por el </w:t>
            </w:r>
            <w:r>
              <w:rPr>
                <w:rFonts w:ascii="Arial" w:eastAsia="Times New Roman" w:hAnsi="Arial" w:cs="Arial"/>
                <w:color w:val="000000"/>
                <w:sz w:val="20"/>
                <w:szCs w:val="20"/>
                <w:lang w:eastAsia="es-CO"/>
              </w:rPr>
              <w:t>proceso</w:t>
            </w:r>
            <w:r w:rsidRPr="00667AE7">
              <w:rPr>
                <w:rFonts w:ascii="Arial" w:eastAsia="Times New Roman" w:hAnsi="Arial" w:cs="Arial"/>
                <w:color w:val="000000"/>
                <w:sz w:val="20"/>
                <w:szCs w:val="20"/>
                <w:lang w:eastAsia="es-CO"/>
              </w:rPr>
              <w:t xml:space="preserve"> en el SMGI, </w:t>
            </w:r>
            <w:r>
              <w:rPr>
                <w:rFonts w:ascii="Arial" w:eastAsia="Times New Roman" w:hAnsi="Arial" w:cs="Arial"/>
                <w:color w:val="000000"/>
                <w:sz w:val="20"/>
                <w:szCs w:val="20"/>
                <w:lang w:eastAsia="es-CO"/>
              </w:rPr>
              <w:t>e</w:t>
            </w:r>
            <w:r w:rsidRPr="00667AE7">
              <w:rPr>
                <w:rFonts w:ascii="Arial" w:eastAsia="Times New Roman" w:hAnsi="Arial" w:cs="Arial"/>
                <w:color w:val="000000"/>
                <w:sz w:val="20"/>
                <w:szCs w:val="20"/>
                <w:lang w:eastAsia="es-CO"/>
              </w:rPr>
              <w:t>n el segundo cuatrimestre 2021 se realizó la aplicación del control en los pasivos pensionales requeridos</w:t>
            </w:r>
            <w:r>
              <w:rPr>
                <w:rFonts w:ascii="Arial" w:eastAsia="Times New Roman" w:hAnsi="Arial" w:cs="Arial"/>
                <w:color w:val="000000"/>
                <w:sz w:val="20"/>
                <w:szCs w:val="20"/>
                <w:lang w:eastAsia="es-CO"/>
              </w:rPr>
              <w:t>;</w:t>
            </w:r>
            <w:r w:rsidRPr="00667AE7">
              <w:rPr>
                <w:rFonts w:ascii="Arial" w:eastAsia="Times New Roman" w:hAnsi="Arial" w:cs="Arial"/>
                <w:color w:val="000000"/>
                <w:sz w:val="20"/>
                <w:szCs w:val="20"/>
                <w:lang w:eastAsia="es-CO"/>
              </w:rPr>
              <w:t xml:space="preserve"> el revisor del cálculo no tiene relación alguna con las personas incluidas en dicho cálculo. Adicionalmente, se aplicó otra instancia de revisión independiente que </w:t>
            </w:r>
            <w:r>
              <w:rPr>
                <w:rFonts w:ascii="Arial" w:eastAsia="Times New Roman" w:hAnsi="Arial" w:cs="Arial"/>
                <w:color w:val="000000"/>
                <w:sz w:val="20"/>
                <w:szCs w:val="20"/>
                <w:lang w:eastAsia="es-CO"/>
              </w:rPr>
              <w:t xml:space="preserve">corresponde a una inspección </w:t>
            </w:r>
            <w:r w:rsidRPr="00667AE7">
              <w:rPr>
                <w:rFonts w:ascii="Arial" w:eastAsia="Times New Roman" w:hAnsi="Arial" w:cs="Arial"/>
                <w:color w:val="000000"/>
                <w:sz w:val="20"/>
                <w:szCs w:val="20"/>
                <w:lang w:eastAsia="es-CO"/>
              </w:rPr>
              <w:t xml:space="preserve">jurídica. </w:t>
            </w:r>
          </w:p>
          <w:p w14:paraId="3E152C83"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 evidenciaron soportes que dan cuenta de las </w:t>
            </w:r>
            <w:r>
              <w:rPr>
                <w:rFonts w:ascii="Arial" w:eastAsia="Times New Roman" w:hAnsi="Arial" w:cs="Arial"/>
                <w:color w:val="000000"/>
                <w:sz w:val="20"/>
                <w:szCs w:val="20"/>
                <w:lang w:eastAsia="es-CO"/>
              </w:rPr>
              <w:t xml:space="preserve">verificaciones </w:t>
            </w:r>
            <w:r w:rsidRPr="00667AE7">
              <w:rPr>
                <w:rFonts w:ascii="Arial" w:eastAsia="Times New Roman" w:hAnsi="Arial" w:cs="Arial"/>
                <w:color w:val="000000"/>
                <w:sz w:val="20"/>
                <w:szCs w:val="20"/>
                <w:lang w:eastAsia="es-CO"/>
              </w:rPr>
              <w:t xml:space="preserve">realizadas por parte de los actores que intervienen en el proceso. </w:t>
            </w:r>
          </w:p>
        </w:tc>
        <w:tc>
          <w:tcPr>
            <w:tcW w:w="25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596958" w14:textId="77777777" w:rsidR="008D0365" w:rsidRPr="008D0365" w:rsidRDefault="008D0365" w:rsidP="008D0365">
            <w:pPr>
              <w:spacing w:after="0" w:line="240" w:lineRule="auto"/>
              <w:jc w:val="both"/>
              <w:rPr>
                <w:rFonts w:ascii="Arial" w:eastAsia="Times New Roman" w:hAnsi="Arial" w:cs="Arial"/>
                <w:i/>
                <w:color w:val="000000"/>
                <w:sz w:val="16"/>
                <w:szCs w:val="20"/>
                <w:lang w:eastAsia="es-CO"/>
              </w:rPr>
            </w:pPr>
          </w:p>
          <w:p w14:paraId="7A2B20F1" w14:textId="77777777" w:rsidR="008D0365" w:rsidRPr="008D0365" w:rsidRDefault="008D0365" w:rsidP="008D0365">
            <w:pPr>
              <w:spacing w:after="0" w:line="240" w:lineRule="auto"/>
              <w:jc w:val="both"/>
              <w:rPr>
                <w:rFonts w:ascii="Arial" w:eastAsia="Times New Roman" w:hAnsi="Arial" w:cs="Arial"/>
                <w:i/>
                <w:color w:val="000000"/>
                <w:sz w:val="16"/>
                <w:szCs w:val="20"/>
                <w:lang w:eastAsia="es-CO"/>
              </w:rPr>
            </w:pPr>
          </w:p>
          <w:p w14:paraId="69D99AB4" w14:textId="0789F8E1" w:rsidR="0066083E" w:rsidRPr="00667AE7" w:rsidRDefault="005E746A"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 xml:space="preserve">segundo cuatrimestre de la vigencia 2021. </w:t>
            </w:r>
          </w:p>
        </w:tc>
      </w:tr>
      <w:tr w:rsidR="0066083E" w:rsidRPr="00667AE7" w14:paraId="36F0CD0D" w14:textId="77777777" w:rsidTr="00667AE7">
        <w:trPr>
          <w:trHeight w:val="85"/>
        </w:trPr>
        <w:tc>
          <w:tcPr>
            <w:tcW w:w="557" w:type="dxa"/>
            <w:vMerge/>
            <w:tcBorders>
              <w:top w:val="nil"/>
              <w:left w:val="single" w:sz="4" w:space="0" w:color="auto"/>
              <w:bottom w:val="single" w:sz="4" w:space="0" w:color="000000"/>
              <w:right w:val="single" w:sz="4" w:space="0" w:color="auto"/>
            </w:tcBorders>
            <w:vAlign w:val="center"/>
            <w:hideMark/>
          </w:tcPr>
          <w:p w14:paraId="0AD59553" w14:textId="77777777" w:rsidR="0066083E" w:rsidRPr="00667AE7" w:rsidRDefault="0066083E" w:rsidP="0066083E">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3ECE4527"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Manipulación de la información para la autorización de giro a las Entidades Territoriales</w:t>
            </w:r>
          </w:p>
        </w:tc>
        <w:tc>
          <w:tcPr>
            <w:tcW w:w="2586" w:type="dxa"/>
            <w:vMerge/>
            <w:tcBorders>
              <w:top w:val="nil"/>
              <w:left w:val="single" w:sz="4" w:space="0" w:color="auto"/>
              <w:bottom w:val="single" w:sz="4" w:space="0" w:color="000000"/>
              <w:right w:val="single" w:sz="4" w:space="0" w:color="auto"/>
            </w:tcBorders>
            <w:vAlign w:val="center"/>
            <w:hideMark/>
          </w:tcPr>
          <w:p w14:paraId="0A3FC542"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1764" w:type="dxa"/>
            <w:vMerge/>
            <w:tcBorders>
              <w:top w:val="nil"/>
              <w:left w:val="single" w:sz="4" w:space="0" w:color="auto"/>
              <w:bottom w:val="single" w:sz="4" w:space="0" w:color="000000"/>
              <w:right w:val="single" w:sz="4" w:space="0" w:color="auto"/>
            </w:tcBorders>
            <w:vAlign w:val="center"/>
            <w:hideMark/>
          </w:tcPr>
          <w:p w14:paraId="4B7F3185"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2094" w:type="dxa"/>
            <w:vMerge/>
            <w:tcBorders>
              <w:top w:val="nil"/>
              <w:left w:val="single" w:sz="4" w:space="0" w:color="auto"/>
              <w:bottom w:val="single" w:sz="4" w:space="0" w:color="000000"/>
              <w:right w:val="single" w:sz="4" w:space="0" w:color="auto"/>
            </w:tcBorders>
            <w:vAlign w:val="center"/>
            <w:hideMark/>
          </w:tcPr>
          <w:p w14:paraId="699B8C29"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3440" w:type="dxa"/>
            <w:vMerge/>
            <w:tcBorders>
              <w:top w:val="nil"/>
              <w:left w:val="single" w:sz="4" w:space="0" w:color="auto"/>
              <w:bottom w:val="single" w:sz="4" w:space="0" w:color="000000"/>
              <w:right w:val="single" w:sz="4" w:space="0" w:color="auto"/>
            </w:tcBorders>
            <w:vAlign w:val="center"/>
            <w:hideMark/>
          </w:tcPr>
          <w:p w14:paraId="0F5D00BA"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2514" w:type="dxa"/>
            <w:vMerge/>
            <w:tcBorders>
              <w:top w:val="nil"/>
              <w:left w:val="single" w:sz="4" w:space="0" w:color="auto"/>
              <w:bottom w:val="single" w:sz="4" w:space="0" w:color="000000"/>
              <w:right w:val="single" w:sz="4" w:space="0" w:color="auto"/>
            </w:tcBorders>
            <w:vAlign w:val="center"/>
            <w:hideMark/>
          </w:tcPr>
          <w:p w14:paraId="7DF18E66"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r>
      <w:tr w:rsidR="0066083E" w:rsidRPr="00667AE7" w14:paraId="686E9A59" w14:textId="77777777" w:rsidTr="00667AE7">
        <w:trPr>
          <w:trHeight w:val="2025"/>
        </w:trPr>
        <w:tc>
          <w:tcPr>
            <w:tcW w:w="5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F73813" w14:textId="77777777" w:rsidR="0066083E" w:rsidRPr="00667AE7" w:rsidRDefault="0066083E" w:rsidP="0066083E">
            <w:pPr>
              <w:spacing w:after="0" w:line="240" w:lineRule="auto"/>
              <w:jc w:val="center"/>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14</w:t>
            </w:r>
          </w:p>
        </w:tc>
        <w:tc>
          <w:tcPr>
            <w:tcW w:w="2639" w:type="dxa"/>
            <w:tcBorders>
              <w:top w:val="nil"/>
              <w:left w:val="nil"/>
              <w:bottom w:val="single" w:sz="4" w:space="0" w:color="auto"/>
              <w:right w:val="single" w:sz="4" w:space="0" w:color="auto"/>
            </w:tcBorders>
            <w:shd w:val="clear" w:color="000000" w:fill="FFFFFF"/>
            <w:vAlign w:val="center"/>
            <w:hideMark/>
          </w:tcPr>
          <w:p w14:paraId="7D2F0E42"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Que funcionarios del programa PASIVOCOL específicamente los Agentes Regionales no sean informados de manera oportuna y veraz sobre las directrices actualizadas de la información que debe ser comunicada o entregada a las entidades</w:t>
            </w: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43069F"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R48 Divulgación indebida o imprecisa de información reservada o pública.</w:t>
            </w:r>
          </w:p>
        </w:tc>
        <w:tc>
          <w:tcPr>
            <w:tcW w:w="17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61B2FD"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Capacitación y retroalimentación frecuente con los agentes regionales.  </w:t>
            </w:r>
          </w:p>
        </w:tc>
        <w:tc>
          <w:tcPr>
            <w:tcW w:w="20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1C7AB6" w14:textId="77777777" w:rsidR="0066083E"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El control establece su propósito para evitar la materialización del riesgo. </w:t>
            </w:r>
          </w:p>
          <w:p w14:paraId="6D9C7A0C"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0307B6" w14:textId="77777777" w:rsidR="0066083E"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De acuerdo con lo reportado por el </w:t>
            </w:r>
            <w:r>
              <w:rPr>
                <w:rFonts w:ascii="Arial" w:eastAsia="Times New Roman" w:hAnsi="Arial" w:cs="Arial"/>
                <w:color w:val="000000"/>
                <w:sz w:val="20"/>
                <w:szCs w:val="20"/>
                <w:lang w:eastAsia="es-CO"/>
              </w:rPr>
              <w:t>proceso</w:t>
            </w:r>
            <w:r w:rsidRPr="00667AE7">
              <w:rPr>
                <w:rFonts w:ascii="Arial" w:eastAsia="Times New Roman" w:hAnsi="Arial" w:cs="Arial"/>
                <w:color w:val="000000"/>
                <w:sz w:val="20"/>
                <w:szCs w:val="20"/>
                <w:lang w:eastAsia="es-CO"/>
              </w:rPr>
              <w:t xml:space="preserve"> en el SMGI, durante el periodo evaluado se adelantaron reuniones con los agentes regionales para el seguimiento de</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 xml:space="preserve">las entidades y la socialización de cambios en los procedimientos.  </w:t>
            </w:r>
          </w:p>
          <w:p w14:paraId="3A4B9394"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 evidenciaron correos electrónicos de programación de  reuniones, en el periodo evaluado. </w:t>
            </w:r>
          </w:p>
        </w:tc>
        <w:tc>
          <w:tcPr>
            <w:tcW w:w="25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697308"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segundo cuatrimestre de la vigencia 2021.</w:t>
            </w:r>
          </w:p>
        </w:tc>
      </w:tr>
      <w:tr w:rsidR="0066083E" w:rsidRPr="00667AE7" w14:paraId="0ECCDEF9" w14:textId="77777777" w:rsidTr="00667AE7">
        <w:trPr>
          <w:trHeight w:val="85"/>
        </w:trPr>
        <w:tc>
          <w:tcPr>
            <w:tcW w:w="557" w:type="dxa"/>
            <w:vMerge/>
            <w:tcBorders>
              <w:top w:val="nil"/>
              <w:left w:val="single" w:sz="4" w:space="0" w:color="auto"/>
              <w:bottom w:val="single" w:sz="4" w:space="0" w:color="auto"/>
              <w:right w:val="single" w:sz="4" w:space="0" w:color="auto"/>
            </w:tcBorders>
            <w:vAlign w:val="center"/>
            <w:hideMark/>
          </w:tcPr>
          <w:p w14:paraId="76243B1F" w14:textId="77777777" w:rsidR="0066083E" w:rsidRPr="00667AE7" w:rsidRDefault="0066083E" w:rsidP="0066083E">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66FD06FA"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Que funcionarios del programa PASIVOCOL no </w:t>
            </w:r>
            <w:r w:rsidRPr="00667AE7">
              <w:rPr>
                <w:rFonts w:ascii="Arial" w:eastAsia="Times New Roman" w:hAnsi="Arial" w:cs="Arial"/>
                <w:color w:val="000000"/>
                <w:sz w:val="20"/>
                <w:szCs w:val="20"/>
                <w:lang w:eastAsia="es-CO"/>
              </w:rPr>
              <w:lastRenderedPageBreak/>
              <w:t>posean o trasmitan las directrices actualizadas de la información de manera oportuna y veraz cuando se tenga contacto con las a las entidades territoriales</w:t>
            </w:r>
          </w:p>
        </w:tc>
        <w:tc>
          <w:tcPr>
            <w:tcW w:w="2586" w:type="dxa"/>
            <w:vMerge/>
            <w:tcBorders>
              <w:top w:val="nil"/>
              <w:left w:val="single" w:sz="4" w:space="0" w:color="auto"/>
              <w:bottom w:val="single" w:sz="4" w:space="0" w:color="auto"/>
              <w:right w:val="single" w:sz="4" w:space="0" w:color="auto"/>
            </w:tcBorders>
            <w:vAlign w:val="center"/>
            <w:hideMark/>
          </w:tcPr>
          <w:p w14:paraId="14018242"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1764" w:type="dxa"/>
            <w:vMerge/>
            <w:tcBorders>
              <w:top w:val="nil"/>
              <w:left w:val="single" w:sz="4" w:space="0" w:color="auto"/>
              <w:bottom w:val="single" w:sz="4" w:space="0" w:color="000000"/>
              <w:right w:val="single" w:sz="4" w:space="0" w:color="auto"/>
            </w:tcBorders>
            <w:vAlign w:val="center"/>
            <w:hideMark/>
          </w:tcPr>
          <w:p w14:paraId="18EEE4DD"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2094" w:type="dxa"/>
            <w:vMerge/>
            <w:tcBorders>
              <w:top w:val="nil"/>
              <w:left w:val="single" w:sz="4" w:space="0" w:color="auto"/>
              <w:bottom w:val="single" w:sz="4" w:space="0" w:color="000000"/>
              <w:right w:val="single" w:sz="4" w:space="0" w:color="auto"/>
            </w:tcBorders>
            <w:vAlign w:val="center"/>
            <w:hideMark/>
          </w:tcPr>
          <w:p w14:paraId="1FCE9F52"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3440" w:type="dxa"/>
            <w:vMerge/>
            <w:tcBorders>
              <w:top w:val="nil"/>
              <w:left w:val="single" w:sz="4" w:space="0" w:color="auto"/>
              <w:bottom w:val="single" w:sz="4" w:space="0" w:color="000000"/>
              <w:right w:val="single" w:sz="4" w:space="0" w:color="auto"/>
            </w:tcBorders>
            <w:vAlign w:val="center"/>
            <w:hideMark/>
          </w:tcPr>
          <w:p w14:paraId="54C2C6A2"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2514" w:type="dxa"/>
            <w:vMerge/>
            <w:tcBorders>
              <w:top w:val="nil"/>
              <w:left w:val="single" w:sz="4" w:space="0" w:color="auto"/>
              <w:bottom w:val="single" w:sz="4" w:space="0" w:color="000000"/>
              <w:right w:val="single" w:sz="4" w:space="0" w:color="auto"/>
            </w:tcBorders>
            <w:vAlign w:val="center"/>
            <w:hideMark/>
          </w:tcPr>
          <w:p w14:paraId="4F4B1762"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r>
      <w:tr w:rsidR="0066083E" w:rsidRPr="00667AE7" w14:paraId="230C9EE4" w14:textId="77777777" w:rsidTr="00667AE7">
        <w:trPr>
          <w:trHeight w:val="646"/>
        </w:trPr>
        <w:tc>
          <w:tcPr>
            <w:tcW w:w="557" w:type="dxa"/>
            <w:vMerge/>
            <w:tcBorders>
              <w:top w:val="nil"/>
              <w:left w:val="single" w:sz="4" w:space="0" w:color="auto"/>
              <w:bottom w:val="single" w:sz="4" w:space="0" w:color="auto"/>
              <w:right w:val="single" w:sz="4" w:space="0" w:color="auto"/>
            </w:tcBorders>
            <w:vAlign w:val="center"/>
            <w:hideMark/>
          </w:tcPr>
          <w:p w14:paraId="6492BE29" w14:textId="77777777" w:rsidR="0066083E" w:rsidRPr="00667AE7" w:rsidRDefault="0066083E" w:rsidP="0066083E">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6C962493"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Que los aplicativos sobre los cuales se extrae la información de historias laborales, cálculos actuariales y pasivos pensionales estén desactualizados (PASIVOCOL , PASIVONAL, consulta al sistema de entidades territoriales del  FONPET)</w:t>
            </w:r>
          </w:p>
        </w:tc>
        <w:tc>
          <w:tcPr>
            <w:tcW w:w="2586" w:type="dxa"/>
            <w:vMerge/>
            <w:tcBorders>
              <w:top w:val="nil"/>
              <w:left w:val="single" w:sz="4" w:space="0" w:color="auto"/>
              <w:bottom w:val="single" w:sz="4" w:space="0" w:color="auto"/>
              <w:right w:val="single" w:sz="4" w:space="0" w:color="auto"/>
            </w:tcBorders>
            <w:vAlign w:val="center"/>
            <w:hideMark/>
          </w:tcPr>
          <w:p w14:paraId="57061B01"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1764" w:type="dxa"/>
            <w:tcBorders>
              <w:top w:val="nil"/>
              <w:left w:val="nil"/>
              <w:bottom w:val="single" w:sz="4" w:space="0" w:color="auto"/>
              <w:right w:val="single" w:sz="4" w:space="0" w:color="auto"/>
            </w:tcBorders>
            <w:shd w:val="clear" w:color="000000" w:fill="FFFFFF"/>
            <w:vAlign w:val="center"/>
            <w:hideMark/>
          </w:tcPr>
          <w:p w14:paraId="2046DC18"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Reuniones de retroalimentación frecuente del equipo de trabajo central. </w:t>
            </w:r>
          </w:p>
        </w:tc>
        <w:tc>
          <w:tcPr>
            <w:tcW w:w="2094" w:type="dxa"/>
            <w:tcBorders>
              <w:top w:val="nil"/>
              <w:left w:val="nil"/>
              <w:bottom w:val="single" w:sz="4" w:space="0" w:color="auto"/>
              <w:right w:val="single" w:sz="4" w:space="0" w:color="auto"/>
            </w:tcBorders>
            <w:shd w:val="clear" w:color="000000" w:fill="FFFFFF"/>
            <w:vAlign w:val="center"/>
            <w:hideMark/>
          </w:tcPr>
          <w:p w14:paraId="59763951" w14:textId="77777777" w:rsidR="0066083E"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El control establece su propósito para evitar la materialización del riesgo. </w:t>
            </w:r>
          </w:p>
          <w:p w14:paraId="2781C5E6"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tcBorders>
              <w:top w:val="nil"/>
              <w:left w:val="nil"/>
              <w:bottom w:val="single" w:sz="4" w:space="0" w:color="auto"/>
              <w:right w:val="single" w:sz="4" w:space="0" w:color="auto"/>
            </w:tcBorders>
            <w:shd w:val="clear" w:color="000000" w:fill="FFFFFF"/>
            <w:vAlign w:val="center"/>
            <w:hideMark/>
          </w:tcPr>
          <w:p w14:paraId="3891CA7E" w14:textId="77777777" w:rsidR="0066083E"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De acuerdo con lo reportado por el </w:t>
            </w:r>
            <w:r>
              <w:rPr>
                <w:rFonts w:ascii="Arial" w:eastAsia="Times New Roman" w:hAnsi="Arial" w:cs="Arial"/>
                <w:color w:val="000000"/>
                <w:sz w:val="20"/>
                <w:szCs w:val="20"/>
                <w:lang w:eastAsia="es-CO"/>
              </w:rPr>
              <w:t>proceso</w:t>
            </w:r>
            <w:r w:rsidRPr="00667AE7">
              <w:rPr>
                <w:rFonts w:ascii="Arial" w:eastAsia="Times New Roman" w:hAnsi="Arial" w:cs="Arial"/>
                <w:color w:val="000000"/>
                <w:sz w:val="20"/>
                <w:szCs w:val="20"/>
                <w:lang w:eastAsia="es-CO"/>
              </w:rPr>
              <w:t xml:space="preserve"> en el SMGI, durante el periodo evaluado se adelantaron reuniones con los agentes regionales para el seguimiento del as entidades y la socialización de cambios en los procedimientos. </w:t>
            </w:r>
          </w:p>
          <w:p w14:paraId="4C12179E"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 evidenciaron correos electrónicos de programación de  reuniones, en el periodo evaluado. </w:t>
            </w:r>
          </w:p>
        </w:tc>
        <w:tc>
          <w:tcPr>
            <w:tcW w:w="2514" w:type="dxa"/>
            <w:tcBorders>
              <w:top w:val="nil"/>
              <w:left w:val="nil"/>
              <w:bottom w:val="single" w:sz="4" w:space="0" w:color="auto"/>
              <w:right w:val="single" w:sz="4" w:space="0" w:color="auto"/>
            </w:tcBorders>
            <w:shd w:val="clear" w:color="000000" w:fill="FFFFFF"/>
            <w:vAlign w:val="center"/>
            <w:hideMark/>
          </w:tcPr>
          <w:p w14:paraId="6D20EC0D"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segundo cuatrimestre de la vigencia 2021.</w:t>
            </w:r>
          </w:p>
        </w:tc>
      </w:tr>
      <w:tr w:rsidR="0066083E" w:rsidRPr="00667AE7" w14:paraId="09DBE74E" w14:textId="77777777" w:rsidTr="00703C25">
        <w:trPr>
          <w:trHeight w:val="60"/>
        </w:trPr>
        <w:tc>
          <w:tcPr>
            <w:tcW w:w="5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386785" w14:textId="77777777" w:rsidR="0066083E" w:rsidRPr="00667AE7" w:rsidRDefault="0066083E" w:rsidP="0066083E">
            <w:pPr>
              <w:spacing w:after="0" w:line="240" w:lineRule="auto"/>
              <w:jc w:val="center"/>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15</w:t>
            </w:r>
          </w:p>
        </w:tc>
        <w:tc>
          <w:tcPr>
            <w:tcW w:w="2639" w:type="dxa"/>
            <w:tcBorders>
              <w:top w:val="nil"/>
              <w:left w:val="nil"/>
              <w:bottom w:val="single" w:sz="4" w:space="0" w:color="auto"/>
              <w:right w:val="single" w:sz="4" w:space="0" w:color="auto"/>
            </w:tcBorders>
            <w:shd w:val="clear" w:color="000000" w:fill="FFFFFF"/>
            <w:vAlign w:val="center"/>
            <w:hideMark/>
          </w:tcPr>
          <w:p w14:paraId="2CE8393A"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Ocultar o eliminar piezas procesales de un expediente</w:t>
            </w: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E82CBA"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R5 Favorecer y/o perjudicar a los sujetos procesales dentro del proceso disciplinario</w:t>
            </w:r>
          </w:p>
        </w:tc>
        <w:tc>
          <w:tcPr>
            <w:tcW w:w="1764" w:type="dxa"/>
            <w:tcBorders>
              <w:top w:val="nil"/>
              <w:left w:val="nil"/>
              <w:bottom w:val="single" w:sz="4" w:space="0" w:color="auto"/>
              <w:right w:val="single" w:sz="4" w:space="0" w:color="auto"/>
            </w:tcBorders>
            <w:shd w:val="clear" w:color="000000" w:fill="FFFFFF"/>
            <w:vAlign w:val="center"/>
            <w:hideMark/>
          </w:tcPr>
          <w:p w14:paraId="5D08C06C"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Denunciar a las autoridades competentes , cuando en el  ejercicio de la potestad disciplinaria se incurra en la comisión de delitos en contra de la administración pública y conlleven a hechos de corrupción o de favorecimiento a los sujetos procesale</w:t>
            </w:r>
            <w:r>
              <w:rPr>
                <w:rFonts w:ascii="Arial" w:eastAsia="Times New Roman" w:hAnsi="Arial" w:cs="Arial"/>
                <w:color w:val="000000"/>
                <w:sz w:val="20"/>
                <w:szCs w:val="20"/>
                <w:lang w:eastAsia="es-CO"/>
              </w:rPr>
              <w:t>s</w:t>
            </w:r>
          </w:p>
        </w:tc>
        <w:tc>
          <w:tcPr>
            <w:tcW w:w="2094" w:type="dxa"/>
            <w:tcBorders>
              <w:top w:val="nil"/>
              <w:left w:val="nil"/>
              <w:bottom w:val="single" w:sz="4" w:space="0" w:color="auto"/>
              <w:right w:val="single" w:sz="4" w:space="0" w:color="auto"/>
            </w:tcBorders>
            <w:shd w:val="clear" w:color="000000" w:fill="FFFFFF"/>
            <w:vAlign w:val="center"/>
            <w:hideMark/>
          </w:tcPr>
          <w:p w14:paraId="33CADBCE" w14:textId="77777777" w:rsidR="0066083E"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El control establece su propósito para evitar la materialización del riesgo. </w:t>
            </w:r>
          </w:p>
          <w:p w14:paraId="085F4F3F"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tcBorders>
              <w:top w:val="nil"/>
              <w:left w:val="nil"/>
              <w:bottom w:val="single" w:sz="4" w:space="0" w:color="auto"/>
              <w:right w:val="single" w:sz="4" w:space="0" w:color="auto"/>
            </w:tcBorders>
            <w:shd w:val="clear" w:color="000000" w:fill="FFFFFF"/>
            <w:vAlign w:val="center"/>
            <w:hideMark/>
          </w:tcPr>
          <w:p w14:paraId="4B6FDC75"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Según lo manifestado por el </w:t>
            </w:r>
            <w:r>
              <w:rPr>
                <w:rFonts w:ascii="Arial" w:eastAsia="Times New Roman" w:hAnsi="Arial" w:cs="Arial"/>
                <w:color w:val="000000"/>
                <w:sz w:val="20"/>
                <w:szCs w:val="20"/>
                <w:lang w:eastAsia="es-CO"/>
              </w:rPr>
              <w:t>proceso</w:t>
            </w:r>
            <w:r w:rsidRPr="00667AE7">
              <w:rPr>
                <w:rFonts w:ascii="Arial" w:eastAsia="Times New Roman" w:hAnsi="Arial" w:cs="Arial"/>
                <w:color w:val="000000"/>
                <w:sz w:val="20"/>
                <w:szCs w:val="20"/>
                <w:lang w:eastAsia="es-CO"/>
              </w:rPr>
              <w:t xml:space="preserve"> en el SMGI, durante el segundo cuatrimestre de 2021 no se aplicó el control. </w:t>
            </w:r>
          </w:p>
        </w:tc>
        <w:tc>
          <w:tcPr>
            <w:tcW w:w="2514" w:type="dxa"/>
            <w:tcBorders>
              <w:top w:val="nil"/>
              <w:left w:val="nil"/>
              <w:bottom w:val="single" w:sz="4" w:space="0" w:color="auto"/>
              <w:right w:val="single" w:sz="4" w:space="0" w:color="auto"/>
            </w:tcBorders>
            <w:shd w:val="clear" w:color="000000" w:fill="FFFFFF"/>
            <w:vAlign w:val="center"/>
            <w:hideMark/>
          </w:tcPr>
          <w:p w14:paraId="1D6953AA" w14:textId="77777777" w:rsidR="0066083E" w:rsidRDefault="0066083E" w:rsidP="0066083E">
            <w:pPr>
              <w:spacing w:after="0" w:line="240" w:lineRule="auto"/>
              <w:jc w:val="both"/>
              <w:rPr>
                <w:rFonts w:ascii="Arial" w:eastAsia="Times New Roman" w:hAnsi="Arial" w:cs="Arial"/>
                <w:color w:val="000000"/>
                <w:sz w:val="20"/>
                <w:szCs w:val="20"/>
                <w:lang w:eastAsia="es-CO"/>
              </w:rPr>
            </w:pPr>
          </w:p>
          <w:p w14:paraId="6CBB6E75" w14:textId="77777777" w:rsidR="0066083E" w:rsidRDefault="0066083E" w:rsidP="0066083E">
            <w:pPr>
              <w:spacing w:after="0" w:line="240" w:lineRule="auto"/>
              <w:jc w:val="both"/>
              <w:rPr>
                <w:rFonts w:ascii="Arial" w:eastAsia="Times New Roman" w:hAnsi="Arial" w:cs="Arial"/>
                <w:color w:val="000000"/>
                <w:sz w:val="20"/>
                <w:szCs w:val="20"/>
                <w:lang w:eastAsia="es-CO"/>
              </w:rPr>
            </w:pPr>
          </w:p>
          <w:p w14:paraId="6D896634" w14:textId="77777777" w:rsidR="0066083E" w:rsidRDefault="0066083E" w:rsidP="0066083E">
            <w:pPr>
              <w:spacing w:after="0" w:line="240" w:lineRule="auto"/>
              <w:jc w:val="both"/>
              <w:rPr>
                <w:rFonts w:ascii="Arial" w:eastAsia="Times New Roman" w:hAnsi="Arial" w:cs="Arial"/>
                <w:color w:val="000000"/>
                <w:sz w:val="20"/>
                <w:szCs w:val="20"/>
                <w:lang w:eastAsia="es-CO"/>
              </w:rPr>
            </w:pPr>
          </w:p>
          <w:p w14:paraId="4B22C1B7" w14:textId="77777777" w:rsidR="0066083E" w:rsidRDefault="0066083E" w:rsidP="0066083E">
            <w:pPr>
              <w:spacing w:after="0" w:line="240" w:lineRule="auto"/>
              <w:jc w:val="both"/>
              <w:rPr>
                <w:rFonts w:ascii="Arial" w:eastAsia="Times New Roman" w:hAnsi="Arial" w:cs="Arial"/>
                <w:color w:val="000000"/>
                <w:sz w:val="20"/>
                <w:szCs w:val="20"/>
                <w:lang w:eastAsia="es-CO"/>
              </w:rPr>
            </w:pPr>
          </w:p>
          <w:p w14:paraId="0F6E67D2" w14:textId="77777777" w:rsidR="0066083E" w:rsidRDefault="0066083E" w:rsidP="0066083E">
            <w:pPr>
              <w:spacing w:after="0" w:line="240" w:lineRule="auto"/>
              <w:jc w:val="both"/>
              <w:rPr>
                <w:rFonts w:ascii="Arial" w:eastAsia="Times New Roman" w:hAnsi="Arial" w:cs="Arial"/>
                <w:color w:val="000000"/>
                <w:sz w:val="20"/>
                <w:szCs w:val="20"/>
                <w:lang w:eastAsia="es-CO"/>
              </w:rPr>
            </w:pPr>
          </w:p>
          <w:p w14:paraId="19918AB4" w14:textId="77777777" w:rsidR="0066083E" w:rsidRDefault="0066083E" w:rsidP="0066083E">
            <w:pPr>
              <w:spacing w:after="0" w:line="240" w:lineRule="auto"/>
              <w:jc w:val="both"/>
              <w:rPr>
                <w:rFonts w:ascii="Arial" w:eastAsia="Times New Roman" w:hAnsi="Arial" w:cs="Arial"/>
                <w:color w:val="000000"/>
                <w:sz w:val="20"/>
                <w:szCs w:val="20"/>
                <w:lang w:eastAsia="es-CO"/>
              </w:rPr>
            </w:pPr>
          </w:p>
          <w:p w14:paraId="7F82E3B1" w14:textId="77777777" w:rsidR="0066083E" w:rsidRDefault="0066083E" w:rsidP="0066083E">
            <w:pPr>
              <w:spacing w:after="0" w:line="240" w:lineRule="auto"/>
              <w:jc w:val="both"/>
              <w:rPr>
                <w:rFonts w:ascii="Arial" w:eastAsia="Times New Roman" w:hAnsi="Arial" w:cs="Arial"/>
                <w:color w:val="000000"/>
                <w:sz w:val="20"/>
                <w:szCs w:val="20"/>
                <w:lang w:eastAsia="es-CO"/>
              </w:rPr>
            </w:pPr>
          </w:p>
          <w:p w14:paraId="5B66085E" w14:textId="77777777" w:rsidR="0066083E" w:rsidRDefault="0066083E" w:rsidP="0066083E">
            <w:pPr>
              <w:spacing w:after="0" w:line="240" w:lineRule="auto"/>
              <w:jc w:val="both"/>
              <w:rPr>
                <w:rFonts w:ascii="Arial" w:eastAsia="Times New Roman" w:hAnsi="Arial" w:cs="Arial"/>
                <w:color w:val="000000"/>
                <w:sz w:val="20"/>
                <w:szCs w:val="20"/>
                <w:lang w:eastAsia="es-CO"/>
              </w:rPr>
            </w:pPr>
          </w:p>
          <w:p w14:paraId="745BDCC8" w14:textId="77777777" w:rsidR="0066083E"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 xml:space="preserve">segundo cuatrimestre de la vigencia 2021, en razón a que no se aplicó. </w:t>
            </w:r>
          </w:p>
          <w:p w14:paraId="0331CE4F" w14:textId="77777777" w:rsidR="0066083E" w:rsidRDefault="0066083E" w:rsidP="0066083E">
            <w:pPr>
              <w:spacing w:after="0" w:line="240" w:lineRule="auto"/>
              <w:jc w:val="both"/>
              <w:rPr>
                <w:rFonts w:ascii="Arial" w:eastAsia="Times New Roman" w:hAnsi="Arial" w:cs="Arial"/>
                <w:color w:val="000000"/>
                <w:sz w:val="20"/>
                <w:szCs w:val="20"/>
                <w:lang w:eastAsia="es-CO"/>
              </w:rPr>
            </w:pPr>
          </w:p>
          <w:p w14:paraId="28C464AC" w14:textId="77777777" w:rsidR="0066083E" w:rsidRDefault="0066083E" w:rsidP="0066083E">
            <w:pPr>
              <w:spacing w:after="0" w:line="240" w:lineRule="auto"/>
              <w:jc w:val="both"/>
              <w:rPr>
                <w:rFonts w:ascii="Arial" w:eastAsia="Times New Roman" w:hAnsi="Arial" w:cs="Arial"/>
                <w:color w:val="000000"/>
                <w:sz w:val="20"/>
                <w:szCs w:val="20"/>
                <w:lang w:eastAsia="es-CO"/>
              </w:rPr>
            </w:pPr>
          </w:p>
          <w:p w14:paraId="1156E844" w14:textId="77777777" w:rsidR="0066083E" w:rsidRDefault="0066083E" w:rsidP="0066083E">
            <w:pPr>
              <w:spacing w:after="0" w:line="240" w:lineRule="auto"/>
              <w:jc w:val="both"/>
              <w:rPr>
                <w:rFonts w:ascii="Arial" w:eastAsia="Times New Roman" w:hAnsi="Arial" w:cs="Arial"/>
                <w:color w:val="000000"/>
                <w:sz w:val="20"/>
                <w:szCs w:val="20"/>
                <w:lang w:eastAsia="es-CO"/>
              </w:rPr>
            </w:pPr>
          </w:p>
          <w:p w14:paraId="4E1931A6" w14:textId="77777777" w:rsidR="0066083E" w:rsidRDefault="0066083E" w:rsidP="0066083E">
            <w:pPr>
              <w:spacing w:after="0" w:line="240" w:lineRule="auto"/>
              <w:jc w:val="both"/>
              <w:rPr>
                <w:rFonts w:ascii="Arial" w:eastAsia="Times New Roman" w:hAnsi="Arial" w:cs="Arial"/>
                <w:color w:val="000000"/>
                <w:sz w:val="20"/>
                <w:szCs w:val="20"/>
                <w:lang w:eastAsia="es-CO"/>
              </w:rPr>
            </w:pPr>
          </w:p>
          <w:p w14:paraId="379288F1" w14:textId="77777777" w:rsidR="0066083E" w:rsidRDefault="0066083E" w:rsidP="0066083E">
            <w:pPr>
              <w:spacing w:after="0" w:line="240" w:lineRule="auto"/>
              <w:jc w:val="both"/>
              <w:rPr>
                <w:rFonts w:ascii="Arial" w:eastAsia="Times New Roman" w:hAnsi="Arial" w:cs="Arial"/>
                <w:color w:val="000000"/>
                <w:sz w:val="20"/>
                <w:szCs w:val="20"/>
                <w:lang w:eastAsia="es-CO"/>
              </w:rPr>
            </w:pPr>
          </w:p>
          <w:p w14:paraId="0B9C6503"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r>
      <w:tr w:rsidR="0066083E" w:rsidRPr="00667AE7" w14:paraId="2D1FD082" w14:textId="77777777" w:rsidTr="00667AE7">
        <w:trPr>
          <w:trHeight w:val="1615"/>
        </w:trPr>
        <w:tc>
          <w:tcPr>
            <w:tcW w:w="557" w:type="dxa"/>
            <w:vMerge/>
            <w:tcBorders>
              <w:top w:val="nil"/>
              <w:left w:val="single" w:sz="4" w:space="0" w:color="auto"/>
              <w:bottom w:val="single" w:sz="4" w:space="0" w:color="auto"/>
              <w:right w:val="single" w:sz="4" w:space="0" w:color="auto"/>
            </w:tcBorders>
            <w:vAlign w:val="center"/>
            <w:hideMark/>
          </w:tcPr>
          <w:p w14:paraId="54454C30" w14:textId="77777777" w:rsidR="0066083E" w:rsidRPr="00667AE7" w:rsidRDefault="0066083E" w:rsidP="0066083E">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0188B7C4"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Manipulación de evidencias y testigos</w:t>
            </w:r>
          </w:p>
        </w:tc>
        <w:tc>
          <w:tcPr>
            <w:tcW w:w="2586" w:type="dxa"/>
            <w:vMerge/>
            <w:tcBorders>
              <w:top w:val="nil"/>
              <w:left w:val="single" w:sz="4" w:space="0" w:color="auto"/>
              <w:bottom w:val="single" w:sz="4" w:space="0" w:color="auto"/>
              <w:right w:val="single" w:sz="4" w:space="0" w:color="auto"/>
            </w:tcBorders>
            <w:vAlign w:val="center"/>
            <w:hideMark/>
          </w:tcPr>
          <w:p w14:paraId="74FE8403"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17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1B4E91"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Realizar análisis jurídico y especializado por parte de la OCDI, de procesos disciplinarios de complejidad técnica y especializada en los hechos objeto de investigación para adoptar decisiones ajustadas a Derecho</w:t>
            </w:r>
          </w:p>
        </w:tc>
        <w:tc>
          <w:tcPr>
            <w:tcW w:w="20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A1F036" w14:textId="77777777" w:rsidR="0066083E"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El control establece su propósito para evitar la materialización del riesgo. </w:t>
            </w:r>
          </w:p>
          <w:p w14:paraId="448911CC"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7C9234"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Conforme lo expuesto por el </w:t>
            </w:r>
            <w:r>
              <w:rPr>
                <w:rFonts w:ascii="Arial" w:eastAsia="Times New Roman" w:hAnsi="Arial" w:cs="Arial"/>
                <w:color w:val="000000"/>
                <w:sz w:val="20"/>
                <w:szCs w:val="20"/>
                <w:lang w:eastAsia="es-CO"/>
              </w:rPr>
              <w:t>proceso</w:t>
            </w:r>
            <w:r w:rsidRPr="00667AE7">
              <w:rPr>
                <w:rFonts w:ascii="Arial" w:eastAsia="Times New Roman" w:hAnsi="Arial" w:cs="Arial"/>
                <w:color w:val="000000"/>
                <w:sz w:val="20"/>
                <w:szCs w:val="20"/>
                <w:lang w:eastAsia="es-CO"/>
              </w:rPr>
              <w:t xml:space="preserve"> en el SMGI, durante el periodo evaluado se estudiaron y analizaron hechos y pruebas de  expedientes, con el fin de adoptar decisiones sobre el curso procesal y decreto de pruebas de estos. </w:t>
            </w:r>
          </w:p>
        </w:tc>
        <w:tc>
          <w:tcPr>
            <w:tcW w:w="25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01BF97"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segundo cuatrimestre de la vigencia 2021.</w:t>
            </w:r>
          </w:p>
        </w:tc>
      </w:tr>
      <w:tr w:rsidR="0066083E" w:rsidRPr="00667AE7" w14:paraId="6FB438BB" w14:textId="77777777" w:rsidTr="00703C25">
        <w:trPr>
          <w:trHeight w:val="1565"/>
        </w:trPr>
        <w:tc>
          <w:tcPr>
            <w:tcW w:w="557" w:type="dxa"/>
            <w:vMerge/>
            <w:tcBorders>
              <w:top w:val="nil"/>
              <w:left w:val="single" w:sz="4" w:space="0" w:color="auto"/>
              <w:bottom w:val="single" w:sz="4" w:space="0" w:color="auto"/>
              <w:right w:val="single" w:sz="4" w:space="0" w:color="auto"/>
            </w:tcBorders>
            <w:vAlign w:val="center"/>
            <w:hideMark/>
          </w:tcPr>
          <w:p w14:paraId="388EDE19" w14:textId="77777777" w:rsidR="0066083E" w:rsidRPr="00667AE7" w:rsidRDefault="0066083E" w:rsidP="0066083E">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5BEB3AE0"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Propiciar el vencimiento de los términos</w:t>
            </w:r>
          </w:p>
        </w:tc>
        <w:tc>
          <w:tcPr>
            <w:tcW w:w="2586" w:type="dxa"/>
            <w:vMerge/>
            <w:tcBorders>
              <w:top w:val="nil"/>
              <w:left w:val="single" w:sz="4" w:space="0" w:color="auto"/>
              <w:bottom w:val="single" w:sz="4" w:space="0" w:color="auto"/>
              <w:right w:val="single" w:sz="4" w:space="0" w:color="auto"/>
            </w:tcBorders>
            <w:vAlign w:val="center"/>
            <w:hideMark/>
          </w:tcPr>
          <w:p w14:paraId="6A3E7C63"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1764" w:type="dxa"/>
            <w:vMerge/>
            <w:tcBorders>
              <w:top w:val="nil"/>
              <w:left w:val="single" w:sz="4" w:space="0" w:color="auto"/>
              <w:bottom w:val="single" w:sz="4" w:space="0" w:color="000000"/>
              <w:right w:val="single" w:sz="4" w:space="0" w:color="auto"/>
            </w:tcBorders>
            <w:vAlign w:val="center"/>
            <w:hideMark/>
          </w:tcPr>
          <w:p w14:paraId="7A36DA12"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2094" w:type="dxa"/>
            <w:vMerge/>
            <w:tcBorders>
              <w:top w:val="nil"/>
              <w:left w:val="single" w:sz="4" w:space="0" w:color="auto"/>
              <w:bottom w:val="single" w:sz="4" w:space="0" w:color="000000"/>
              <w:right w:val="single" w:sz="4" w:space="0" w:color="auto"/>
            </w:tcBorders>
            <w:vAlign w:val="center"/>
            <w:hideMark/>
          </w:tcPr>
          <w:p w14:paraId="2558EB43"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3440" w:type="dxa"/>
            <w:vMerge/>
            <w:tcBorders>
              <w:top w:val="nil"/>
              <w:left w:val="single" w:sz="4" w:space="0" w:color="auto"/>
              <w:bottom w:val="single" w:sz="4" w:space="0" w:color="000000"/>
              <w:right w:val="single" w:sz="4" w:space="0" w:color="auto"/>
            </w:tcBorders>
            <w:vAlign w:val="center"/>
            <w:hideMark/>
          </w:tcPr>
          <w:p w14:paraId="5F463398"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2514" w:type="dxa"/>
            <w:vMerge/>
            <w:tcBorders>
              <w:top w:val="nil"/>
              <w:left w:val="single" w:sz="4" w:space="0" w:color="auto"/>
              <w:bottom w:val="single" w:sz="4" w:space="0" w:color="000000"/>
              <w:right w:val="single" w:sz="4" w:space="0" w:color="auto"/>
            </w:tcBorders>
            <w:vAlign w:val="center"/>
            <w:hideMark/>
          </w:tcPr>
          <w:p w14:paraId="23362849"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r>
      <w:tr w:rsidR="0066083E" w:rsidRPr="00667AE7" w14:paraId="6EDD2B64" w14:textId="77777777" w:rsidTr="00667AE7">
        <w:trPr>
          <w:trHeight w:val="1139"/>
        </w:trPr>
        <w:tc>
          <w:tcPr>
            <w:tcW w:w="557" w:type="dxa"/>
            <w:vMerge/>
            <w:tcBorders>
              <w:top w:val="nil"/>
              <w:left w:val="single" w:sz="4" w:space="0" w:color="auto"/>
              <w:bottom w:val="single" w:sz="4" w:space="0" w:color="auto"/>
              <w:right w:val="single" w:sz="4" w:space="0" w:color="auto"/>
            </w:tcBorders>
            <w:vAlign w:val="center"/>
            <w:hideMark/>
          </w:tcPr>
          <w:p w14:paraId="6FF15152" w14:textId="77777777" w:rsidR="0066083E" w:rsidRPr="00667AE7" w:rsidRDefault="0066083E" w:rsidP="0066083E">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17C9AC81"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Falta de idoneidad y de conocimiento del derecho disciplinario por parte del funcionario comisionado</w:t>
            </w:r>
          </w:p>
        </w:tc>
        <w:tc>
          <w:tcPr>
            <w:tcW w:w="2586" w:type="dxa"/>
            <w:vMerge/>
            <w:tcBorders>
              <w:top w:val="nil"/>
              <w:left w:val="single" w:sz="4" w:space="0" w:color="auto"/>
              <w:bottom w:val="single" w:sz="4" w:space="0" w:color="auto"/>
              <w:right w:val="single" w:sz="4" w:space="0" w:color="auto"/>
            </w:tcBorders>
            <w:vAlign w:val="center"/>
            <w:hideMark/>
          </w:tcPr>
          <w:p w14:paraId="2EEB9221"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17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51B77C"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Revisión periódica de los expedientes activos</w:t>
            </w:r>
          </w:p>
        </w:tc>
        <w:tc>
          <w:tcPr>
            <w:tcW w:w="20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F8CC11" w14:textId="77777777" w:rsidR="0066083E"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El control establece su propósito para evitar la materialización del riesgo. </w:t>
            </w:r>
          </w:p>
          <w:p w14:paraId="46B96E9C"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D5269F" w14:textId="77777777" w:rsidR="0066083E"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Conforme lo manifestado por el </w:t>
            </w:r>
            <w:r>
              <w:rPr>
                <w:rFonts w:ascii="Arial" w:eastAsia="Times New Roman" w:hAnsi="Arial" w:cs="Arial"/>
                <w:color w:val="000000"/>
                <w:sz w:val="20"/>
                <w:szCs w:val="20"/>
                <w:lang w:eastAsia="es-CO"/>
              </w:rPr>
              <w:t>proceso</w:t>
            </w:r>
            <w:r w:rsidRPr="00667AE7">
              <w:rPr>
                <w:rFonts w:ascii="Arial" w:eastAsia="Times New Roman" w:hAnsi="Arial" w:cs="Arial"/>
                <w:color w:val="000000"/>
                <w:sz w:val="20"/>
                <w:szCs w:val="20"/>
                <w:lang w:eastAsia="es-CO"/>
              </w:rPr>
              <w:t xml:space="preserve"> en el SMGI, durante el periodo evaluado se efectuaron reuniones de seguimiento con el fin de:  *Verificar las actividades a cargo de cada uno de los funcionarios y contratistas de la Oficina</w:t>
            </w:r>
            <w:r>
              <w:rPr>
                <w:rFonts w:ascii="Arial" w:eastAsia="Times New Roman" w:hAnsi="Arial" w:cs="Arial"/>
                <w:color w:val="000000"/>
                <w:sz w:val="20"/>
                <w:szCs w:val="20"/>
                <w:lang w:eastAsia="es-CO"/>
              </w:rPr>
              <w:t xml:space="preserve">. </w:t>
            </w:r>
          </w:p>
          <w:p w14:paraId="56377455"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 *Revisar el estado de cada expediente. Para el periodo evaluado se realizó revisión de expedientes en ocho (8) oportunidades. </w:t>
            </w:r>
          </w:p>
        </w:tc>
        <w:tc>
          <w:tcPr>
            <w:tcW w:w="25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76C12A"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segundo cuatrimestre de la vigencia 2021.</w:t>
            </w:r>
          </w:p>
        </w:tc>
      </w:tr>
      <w:tr w:rsidR="0066083E" w:rsidRPr="00667AE7" w14:paraId="7DC8318E" w14:textId="77777777" w:rsidTr="00703C25">
        <w:trPr>
          <w:trHeight w:val="1140"/>
        </w:trPr>
        <w:tc>
          <w:tcPr>
            <w:tcW w:w="557" w:type="dxa"/>
            <w:vMerge/>
            <w:tcBorders>
              <w:top w:val="nil"/>
              <w:left w:val="single" w:sz="4" w:space="0" w:color="auto"/>
              <w:bottom w:val="single" w:sz="4" w:space="0" w:color="auto"/>
              <w:right w:val="single" w:sz="4" w:space="0" w:color="auto"/>
            </w:tcBorders>
            <w:vAlign w:val="center"/>
            <w:hideMark/>
          </w:tcPr>
          <w:p w14:paraId="35D691F1" w14:textId="77777777" w:rsidR="0066083E" w:rsidRPr="00667AE7" w:rsidRDefault="0066083E" w:rsidP="0066083E">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03A992B6"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Manipular la actuación del proceso dejándose llevar por manifestación de sentimientos y emociones hacia el investigado</w:t>
            </w:r>
          </w:p>
        </w:tc>
        <w:tc>
          <w:tcPr>
            <w:tcW w:w="2586" w:type="dxa"/>
            <w:vMerge/>
            <w:tcBorders>
              <w:top w:val="nil"/>
              <w:left w:val="single" w:sz="4" w:space="0" w:color="auto"/>
              <w:bottom w:val="single" w:sz="4" w:space="0" w:color="auto"/>
              <w:right w:val="single" w:sz="4" w:space="0" w:color="auto"/>
            </w:tcBorders>
            <w:vAlign w:val="center"/>
            <w:hideMark/>
          </w:tcPr>
          <w:p w14:paraId="1B6E0086"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1764" w:type="dxa"/>
            <w:vMerge/>
            <w:tcBorders>
              <w:top w:val="nil"/>
              <w:left w:val="single" w:sz="4" w:space="0" w:color="auto"/>
              <w:bottom w:val="single" w:sz="4" w:space="0" w:color="000000"/>
              <w:right w:val="single" w:sz="4" w:space="0" w:color="auto"/>
            </w:tcBorders>
            <w:vAlign w:val="center"/>
            <w:hideMark/>
          </w:tcPr>
          <w:p w14:paraId="6616D531"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2094" w:type="dxa"/>
            <w:vMerge/>
            <w:tcBorders>
              <w:top w:val="nil"/>
              <w:left w:val="single" w:sz="4" w:space="0" w:color="auto"/>
              <w:bottom w:val="single" w:sz="4" w:space="0" w:color="000000"/>
              <w:right w:val="single" w:sz="4" w:space="0" w:color="auto"/>
            </w:tcBorders>
            <w:vAlign w:val="center"/>
            <w:hideMark/>
          </w:tcPr>
          <w:p w14:paraId="14FDA1B4"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3440" w:type="dxa"/>
            <w:vMerge/>
            <w:tcBorders>
              <w:top w:val="nil"/>
              <w:left w:val="single" w:sz="4" w:space="0" w:color="auto"/>
              <w:bottom w:val="single" w:sz="4" w:space="0" w:color="000000"/>
              <w:right w:val="single" w:sz="4" w:space="0" w:color="auto"/>
            </w:tcBorders>
            <w:vAlign w:val="center"/>
            <w:hideMark/>
          </w:tcPr>
          <w:p w14:paraId="61313541"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2514" w:type="dxa"/>
            <w:vMerge/>
            <w:tcBorders>
              <w:top w:val="nil"/>
              <w:left w:val="single" w:sz="4" w:space="0" w:color="auto"/>
              <w:bottom w:val="single" w:sz="4" w:space="0" w:color="000000"/>
              <w:right w:val="single" w:sz="4" w:space="0" w:color="auto"/>
            </w:tcBorders>
            <w:vAlign w:val="center"/>
            <w:hideMark/>
          </w:tcPr>
          <w:p w14:paraId="37D4E7AA"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r>
      <w:tr w:rsidR="0066083E" w:rsidRPr="00667AE7" w14:paraId="53038267" w14:textId="77777777" w:rsidTr="00667AE7">
        <w:trPr>
          <w:trHeight w:val="1425"/>
        </w:trPr>
        <w:tc>
          <w:tcPr>
            <w:tcW w:w="557" w:type="dxa"/>
            <w:vMerge/>
            <w:tcBorders>
              <w:top w:val="nil"/>
              <w:left w:val="single" w:sz="4" w:space="0" w:color="auto"/>
              <w:bottom w:val="single" w:sz="4" w:space="0" w:color="auto"/>
              <w:right w:val="single" w:sz="4" w:space="0" w:color="auto"/>
            </w:tcBorders>
            <w:vAlign w:val="center"/>
            <w:hideMark/>
          </w:tcPr>
          <w:p w14:paraId="04221BC3" w14:textId="77777777" w:rsidR="0066083E" w:rsidRPr="00667AE7" w:rsidRDefault="0066083E" w:rsidP="0066083E">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2B8FAF07"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Incurrir en conductas que sean objeto de sanción en la Ley Penal (Delitos contra la Administración Pública), Fiscal, Disciplinaria y demás disposiciones concordantes</w:t>
            </w:r>
          </w:p>
        </w:tc>
        <w:tc>
          <w:tcPr>
            <w:tcW w:w="2586" w:type="dxa"/>
            <w:vMerge/>
            <w:tcBorders>
              <w:top w:val="nil"/>
              <w:left w:val="single" w:sz="4" w:space="0" w:color="auto"/>
              <w:bottom w:val="single" w:sz="4" w:space="0" w:color="auto"/>
              <w:right w:val="single" w:sz="4" w:space="0" w:color="auto"/>
            </w:tcBorders>
            <w:vAlign w:val="center"/>
            <w:hideMark/>
          </w:tcPr>
          <w:p w14:paraId="423A794F"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17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4C9667"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Solicitar el apoyo e intervención de otras entidades que tengan el conocimiento técnico requerido.</w:t>
            </w:r>
          </w:p>
        </w:tc>
        <w:tc>
          <w:tcPr>
            <w:tcW w:w="20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32CAEF" w14:textId="77777777" w:rsidR="0066083E"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El control establece su propósito para evitar la materialización del riesgo. </w:t>
            </w:r>
          </w:p>
          <w:p w14:paraId="709FDA4F"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86FE56"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Según lo comentado por el </w:t>
            </w:r>
            <w:r>
              <w:rPr>
                <w:rFonts w:ascii="Arial" w:eastAsia="Times New Roman" w:hAnsi="Arial" w:cs="Arial"/>
                <w:color w:val="000000"/>
                <w:sz w:val="20"/>
                <w:szCs w:val="20"/>
                <w:lang w:eastAsia="es-CO"/>
              </w:rPr>
              <w:t>proceso</w:t>
            </w:r>
            <w:r w:rsidRPr="00667AE7">
              <w:rPr>
                <w:rFonts w:ascii="Arial" w:eastAsia="Times New Roman" w:hAnsi="Arial" w:cs="Arial"/>
                <w:color w:val="000000"/>
                <w:sz w:val="20"/>
                <w:szCs w:val="20"/>
                <w:lang w:eastAsia="es-CO"/>
              </w:rPr>
              <w:t xml:space="preserve"> en SMGI, durante el periodo evaluado no se requirió la intervención de otras entidades para el análisis de situaciones particulares.</w:t>
            </w:r>
          </w:p>
        </w:tc>
        <w:tc>
          <w:tcPr>
            <w:tcW w:w="25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D809FA"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 xml:space="preserve">segundo cuatrimestre de la vigencia 2021, en razón a que no se aplicó. </w:t>
            </w:r>
          </w:p>
        </w:tc>
      </w:tr>
      <w:tr w:rsidR="0066083E" w:rsidRPr="00667AE7" w14:paraId="3310C9AB" w14:textId="77777777" w:rsidTr="00667AE7">
        <w:trPr>
          <w:trHeight w:val="85"/>
        </w:trPr>
        <w:tc>
          <w:tcPr>
            <w:tcW w:w="557" w:type="dxa"/>
            <w:vMerge/>
            <w:tcBorders>
              <w:top w:val="nil"/>
              <w:left w:val="single" w:sz="4" w:space="0" w:color="auto"/>
              <w:bottom w:val="single" w:sz="4" w:space="0" w:color="auto"/>
              <w:right w:val="single" w:sz="4" w:space="0" w:color="auto"/>
            </w:tcBorders>
            <w:vAlign w:val="center"/>
            <w:hideMark/>
          </w:tcPr>
          <w:p w14:paraId="48AE874E" w14:textId="77777777" w:rsidR="0066083E" w:rsidRPr="00667AE7" w:rsidRDefault="0066083E" w:rsidP="0066083E">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6A8985AA"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Falta de idoneidad y conocimiento del derecho disciplinario</w:t>
            </w:r>
          </w:p>
        </w:tc>
        <w:tc>
          <w:tcPr>
            <w:tcW w:w="2586" w:type="dxa"/>
            <w:vMerge/>
            <w:tcBorders>
              <w:top w:val="nil"/>
              <w:left w:val="single" w:sz="4" w:space="0" w:color="auto"/>
              <w:bottom w:val="single" w:sz="4" w:space="0" w:color="auto"/>
              <w:right w:val="single" w:sz="4" w:space="0" w:color="auto"/>
            </w:tcBorders>
            <w:vAlign w:val="center"/>
            <w:hideMark/>
          </w:tcPr>
          <w:p w14:paraId="38D9ABCA"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1764" w:type="dxa"/>
            <w:vMerge/>
            <w:tcBorders>
              <w:top w:val="nil"/>
              <w:left w:val="single" w:sz="4" w:space="0" w:color="auto"/>
              <w:bottom w:val="single" w:sz="4" w:space="0" w:color="000000"/>
              <w:right w:val="single" w:sz="4" w:space="0" w:color="auto"/>
            </w:tcBorders>
            <w:vAlign w:val="center"/>
            <w:hideMark/>
          </w:tcPr>
          <w:p w14:paraId="11A046D7"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2094" w:type="dxa"/>
            <w:vMerge/>
            <w:tcBorders>
              <w:top w:val="nil"/>
              <w:left w:val="single" w:sz="4" w:space="0" w:color="auto"/>
              <w:bottom w:val="single" w:sz="4" w:space="0" w:color="000000"/>
              <w:right w:val="single" w:sz="4" w:space="0" w:color="auto"/>
            </w:tcBorders>
            <w:vAlign w:val="center"/>
            <w:hideMark/>
          </w:tcPr>
          <w:p w14:paraId="4CCA7382"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3440" w:type="dxa"/>
            <w:vMerge/>
            <w:tcBorders>
              <w:top w:val="nil"/>
              <w:left w:val="single" w:sz="4" w:space="0" w:color="auto"/>
              <w:bottom w:val="single" w:sz="4" w:space="0" w:color="000000"/>
              <w:right w:val="single" w:sz="4" w:space="0" w:color="auto"/>
            </w:tcBorders>
            <w:vAlign w:val="center"/>
            <w:hideMark/>
          </w:tcPr>
          <w:p w14:paraId="0DBE0E0F"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2514" w:type="dxa"/>
            <w:vMerge/>
            <w:tcBorders>
              <w:top w:val="nil"/>
              <w:left w:val="single" w:sz="4" w:space="0" w:color="auto"/>
              <w:bottom w:val="single" w:sz="4" w:space="0" w:color="000000"/>
              <w:right w:val="single" w:sz="4" w:space="0" w:color="auto"/>
            </w:tcBorders>
            <w:vAlign w:val="center"/>
            <w:hideMark/>
          </w:tcPr>
          <w:p w14:paraId="4F2E0208"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r>
      <w:tr w:rsidR="0066083E" w:rsidRPr="00667AE7" w14:paraId="2A44CE5A" w14:textId="77777777" w:rsidTr="00703C25">
        <w:trPr>
          <w:trHeight w:val="1075"/>
        </w:trPr>
        <w:tc>
          <w:tcPr>
            <w:tcW w:w="557" w:type="dxa"/>
            <w:vMerge/>
            <w:tcBorders>
              <w:top w:val="nil"/>
              <w:left w:val="single" w:sz="4" w:space="0" w:color="auto"/>
              <w:bottom w:val="single" w:sz="4" w:space="0" w:color="auto"/>
              <w:right w:val="single" w:sz="4" w:space="0" w:color="auto"/>
            </w:tcBorders>
            <w:vAlign w:val="center"/>
            <w:hideMark/>
          </w:tcPr>
          <w:p w14:paraId="26157A04" w14:textId="77777777" w:rsidR="0066083E" w:rsidRPr="00667AE7" w:rsidRDefault="0066083E" w:rsidP="0066083E">
            <w:pPr>
              <w:spacing w:after="0" w:line="240" w:lineRule="auto"/>
              <w:rPr>
                <w:rFonts w:ascii="Arial" w:eastAsia="Times New Roman" w:hAnsi="Arial" w:cs="Arial"/>
                <w:color w:val="000000"/>
                <w:sz w:val="20"/>
                <w:szCs w:val="20"/>
                <w:lang w:eastAsia="es-CO"/>
              </w:rPr>
            </w:pPr>
          </w:p>
        </w:tc>
        <w:tc>
          <w:tcPr>
            <w:tcW w:w="2639" w:type="dxa"/>
            <w:tcBorders>
              <w:top w:val="nil"/>
              <w:left w:val="nil"/>
              <w:bottom w:val="single" w:sz="4" w:space="0" w:color="auto"/>
              <w:right w:val="single" w:sz="4" w:space="0" w:color="auto"/>
            </w:tcBorders>
            <w:shd w:val="clear" w:color="000000" w:fill="FFFFFF"/>
            <w:vAlign w:val="center"/>
            <w:hideMark/>
          </w:tcPr>
          <w:p w14:paraId="20F6BD94"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No realizar un análisis integral de las normas concordantes por parte del funcionario comisionado</w:t>
            </w:r>
          </w:p>
        </w:tc>
        <w:tc>
          <w:tcPr>
            <w:tcW w:w="2586" w:type="dxa"/>
            <w:vMerge/>
            <w:tcBorders>
              <w:top w:val="nil"/>
              <w:left w:val="single" w:sz="4" w:space="0" w:color="auto"/>
              <w:bottom w:val="single" w:sz="4" w:space="0" w:color="auto"/>
              <w:right w:val="single" w:sz="4" w:space="0" w:color="auto"/>
            </w:tcBorders>
            <w:vAlign w:val="center"/>
            <w:hideMark/>
          </w:tcPr>
          <w:p w14:paraId="34D38D3D"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p>
        </w:tc>
        <w:tc>
          <w:tcPr>
            <w:tcW w:w="1764" w:type="dxa"/>
            <w:tcBorders>
              <w:top w:val="nil"/>
              <w:left w:val="nil"/>
              <w:bottom w:val="single" w:sz="4" w:space="0" w:color="auto"/>
              <w:right w:val="single" w:sz="4" w:space="0" w:color="auto"/>
            </w:tcBorders>
            <w:shd w:val="clear" w:color="000000" w:fill="FFFFFF"/>
            <w:vAlign w:val="center"/>
            <w:hideMark/>
          </w:tcPr>
          <w:p w14:paraId="32DE3906"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Realizar un estudio de la idoneidad del personal en el proceso de selección de futuros integrantes de la OCDI</w:t>
            </w:r>
          </w:p>
        </w:tc>
        <w:tc>
          <w:tcPr>
            <w:tcW w:w="2094" w:type="dxa"/>
            <w:tcBorders>
              <w:top w:val="nil"/>
              <w:left w:val="nil"/>
              <w:bottom w:val="single" w:sz="4" w:space="0" w:color="auto"/>
              <w:right w:val="single" w:sz="4" w:space="0" w:color="auto"/>
            </w:tcBorders>
            <w:shd w:val="clear" w:color="000000" w:fill="FFFFFF"/>
            <w:vAlign w:val="center"/>
            <w:hideMark/>
          </w:tcPr>
          <w:p w14:paraId="123E692F" w14:textId="77777777" w:rsidR="0066083E"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El control establece su propósito para evitar la materialización del riesgo. </w:t>
            </w:r>
          </w:p>
          <w:p w14:paraId="7F55E6EB"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Está relacionado con causas identificadas.</w:t>
            </w:r>
          </w:p>
        </w:tc>
        <w:tc>
          <w:tcPr>
            <w:tcW w:w="3440" w:type="dxa"/>
            <w:tcBorders>
              <w:top w:val="nil"/>
              <w:left w:val="nil"/>
              <w:bottom w:val="single" w:sz="4" w:space="0" w:color="auto"/>
              <w:right w:val="single" w:sz="4" w:space="0" w:color="auto"/>
            </w:tcBorders>
            <w:shd w:val="clear" w:color="000000" w:fill="FFFFFF"/>
            <w:vAlign w:val="center"/>
            <w:hideMark/>
          </w:tcPr>
          <w:p w14:paraId="1D88C414"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 xml:space="preserve">Conforme lo reportado por el </w:t>
            </w:r>
            <w:r>
              <w:rPr>
                <w:rFonts w:ascii="Arial" w:eastAsia="Times New Roman" w:hAnsi="Arial" w:cs="Arial"/>
                <w:color w:val="000000"/>
                <w:sz w:val="20"/>
                <w:szCs w:val="20"/>
                <w:lang w:eastAsia="es-CO"/>
              </w:rPr>
              <w:t>proceso</w:t>
            </w:r>
            <w:r w:rsidRPr="00667AE7">
              <w:rPr>
                <w:rFonts w:ascii="Arial" w:eastAsia="Times New Roman" w:hAnsi="Arial" w:cs="Arial"/>
                <w:color w:val="000000"/>
                <w:sz w:val="20"/>
                <w:szCs w:val="20"/>
                <w:lang w:eastAsia="es-CO"/>
              </w:rPr>
              <w:t xml:space="preserve"> en el SMGI, para el segundo cuatrimestre de 2021 se aplicó el control en el marco del ingreso de la secretaria de la Oficina de Control Interno Disciplinario. </w:t>
            </w:r>
          </w:p>
        </w:tc>
        <w:tc>
          <w:tcPr>
            <w:tcW w:w="2514" w:type="dxa"/>
            <w:tcBorders>
              <w:top w:val="nil"/>
              <w:left w:val="nil"/>
              <w:bottom w:val="single" w:sz="4" w:space="0" w:color="auto"/>
              <w:right w:val="single" w:sz="4" w:space="0" w:color="auto"/>
            </w:tcBorders>
            <w:shd w:val="clear" w:color="000000" w:fill="FFFFFF"/>
            <w:vAlign w:val="center"/>
            <w:hideMark/>
          </w:tcPr>
          <w:p w14:paraId="22D6ECBD" w14:textId="77777777" w:rsidR="0066083E" w:rsidRPr="00667AE7" w:rsidRDefault="0066083E" w:rsidP="0066083E">
            <w:pPr>
              <w:spacing w:after="0" w:line="240" w:lineRule="auto"/>
              <w:jc w:val="both"/>
              <w:rPr>
                <w:rFonts w:ascii="Arial" w:eastAsia="Times New Roman" w:hAnsi="Arial" w:cs="Arial"/>
                <w:color w:val="000000"/>
                <w:sz w:val="20"/>
                <w:szCs w:val="20"/>
                <w:lang w:eastAsia="es-CO"/>
              </w:rPr>
            </w:pPr>
            <w:r w:rsidRPr="00667AE7">
              <w:rPr>
                <w:rFonts w:ascii="Arial" w:eastAsia="Times New Roman" w:hAnsi="Arial" w:cs="Arial"/>
                <w:color w:val="000000"/>
                <w:sz w:val="20"/>
                <w:szCs w:val="20"/>
                <w:lang w:eastAsia="es-CO"/>
              </w:rPr>
              <w:t>No se observaron novedades relacionadas con la ejecución del control durante el</w:t>
            </w:r>
            <w:r>
              <w:rPr>
                <w:rFonts w:ascii="Arial" w:eastAsia="Times New Roman" w:hAnsi="Arial" w:cs="Arial"/>
                <w:color w:val="000000"/>
                <w:sz w:val="20"/>
                <w:szCs w:val="20"/>
                <w:lang w:eastAsia="es-CO"/>
              </w:rPr>
              <w:t xml:space="preserve"> </w:t>
            </w:r>
            <w:r w:rsidRPr="00667AE7">
              <w:rPr>
                <w:rFonts w:ascii="Arial" w:eastAsia="Times New Roman" w:hAnsi="Arial" w:cs="Arial"/>
                <w:color w:val="000000"/>
                <w:sz w:val="20"/>
                <w:szCs w:val="20"/>
                <w:lang w:eastAsia="es-CO"/>
              </w:rPr>
              <w:t>segundo cuatrimestre de la vigencia 2021.</w:t>
            </w:r>
          </w:p>
        </w:tc>
      </w:tr>
    </w:tbl>
    <w:p w14:paraId="2CAD154F" w14:textId="77777777" w:rsidR="00370A52" w:rsidRDefault="00370A52" w:rsidP="00703C25">
      <w:pPr>
        <w:jc w:val="center"/>
        <w:rPr>
          <w:rFonts w:ascii="Arial" w:hAnsi="Arial" w:cs="Arial"/>
        </w:rPr>
      </w:pPr>
      <w:r>
        <w:rPr>
          <w:rFonts w:ascii="Arial" w:hAnsi="Arial" w:cs="Arial"/>
        </w:rPr>
        <w:tab/>
      </w:r>
      <w:r w:rsidRPr="00667AE7">
        <w:rPr>
          <w:rFonts w:ascii="Arial" w:hAnsi="Arial" w:cs="Arial"/>
          <w:i/>
          <w:iCs/>
          <w:sz w:val="16"/>
          <w:szCs w:val="16"/>
        </w:rPr>
        <w:t xml:space="preserve">Fuente: </w:t>
      </w:r>
      <w:r w:rsidRPr="00667AE7">
        <w:rPr>
          <w:rFonts w:ascii="Arial" w:hAnsi="Arial" w:cs="Arial"/>
          <w:sz w:val="16"/>
          <w:szCs w:val="16"/>
        </w:rPr>
        <w:t>Elaboración propia auditor, con base en el Mapa de Riesgos de Corrupción del MHCP</w:t>
      </w:r>
    </w:p>
    <w:p w14:paraId="07173D89" w14:textId="77777777" w:rsidR="00370A52" w:rsidRPr="00667AE7" w:rsidRDefault="00370A52" w:rsidP="00370A52">
      <w:pPr>
        <w:jc w:val="both"/>
        <w:rPr>
          <w:rFonts w:ascii="Arial" w:hAnsi="Arial" w:cs="Arial"/>
        </w:rPr>
      </w:pPr>
      <w:r w:rsidRPr="00667AE7">
        <w:rPr>
          <w:rFonts w:ascii="Arial" w:hAnsi="Arial" w:cs="Arial"/>
        </w:rPr>
        <w:t xml:space="preserve">Como resultado de verificar quince (15) riesgos de corrupción y cuarenta y un (41) controles, se </w:t>
      </w:r>
      <w:r w:rsidRPr="00667AE7">
        <w:rPr>
          <w:rFonts w:ascii="Arial" w:hAnsi="Arial" w:cs="Arial"/>
          <w:b/>
          <w:bCs/>
        </w:rPr>
        <w:t>recomienda</w:t>
      </w:r>
      <w:r w:rsidRPr="00667AE7">
        <w:rPr>
          <w:rFonts w:ascii="Arial" w:hAnsi="Arial" w:cs="Arial"/>
        </w:rPr>
        <w:t xml:space="preserve"> a la Primera Línea de Defensa en apoyo metodológico de la Segunda, evaluar la pertinencia de propósitos, periodicidad y evidencias, así como demás variables que constituyen los controles, para garantizar fortaleza en su diseño y ejecución. </w:t>
      </w:r>
    </w:p>
    <w:p w14:paraId="21A06F56" w14:textId="77777777" w:rsidR="00370A52" w:rsidRPr="00667AE7" w:rsidRDefault="00370A52" w:rsidP="00370A52">
      <w:pPr>
        <w:jc w:val="both"/>
        <w:rPr>
          <w:rFonts w:ascii="Arial" w:hAnsi="Arial" w:cs="Arial"/>
        </w:rPr>
      </w:pPr>
      <w:r w:rsidRPr="00667AE7">
        <w:rPr>
          <w:rFonts w:ascii="Arial" w:hAnsi="Arial" w:cs="Arial"/>
        </w:rPr>
        <w:t xml:space="preserve">Teniendo en cuenta la actualización de los lineamientos en materia de administración de riesgos y diseño de controles por parte del DAFP, se </w:t>
      </w:r>
      <w:r w:rsidRPr="00667AE7">
        <w:rPr>
          <w:rFonts w:ascii="Arial" w:hAnsi="Arial" w:cs="Arial"/>
          <w:b/>
          <w:bCs/>
        </w:rPr>
        <w:t>recomienda</w:t>
      </w:r>
      <w:r w:rsidRPr="00667AE7">
        <w:rPr>
          <w:rFonts w:ascii="Arial" w:hAnsi="Arial" w:cs="Arial"/>
        </w:rPr>
        <w:t xml:space="preserve"> seguir adelantando las gestiones de revisión de mencionados lineamientos para su posterior implementación, con el fin de que los riesgos de corrupción así como sus controles estén formulados en armonía con lo allí establecido. </w:t>
      </w:r>
    </w:p>
    <w:p w14:paraId="22DC036C" w14:textId="77777777" w:rsidR="00370A52" w:rsidRPr="00667AE7" w:rsidRDefault="00370A52" w:rsidP="00370A52">
      <w:pPr>
        <w:jc w:val="both"/>
        <w:rPr>
          <w:rFonts w:ascii="Arial" w:hAnsi="Arial" w:cs="Arial"/>
          <w:b/>
          <w:bCs/>
        </w:rPr>
      </w:pPr>
      <w:r w:rsidRPr="00667AE7">
        <w:rPr>
          <w:rFonts w:ascii="Arial" w:hAnsi="Arial" w:cs="Arial"/>
          <w:b/>
          <w:bCs/>
        </w:rPr>
        <w:t xml:space="preserve">3     OBSERVACIONES Y ACCIONES EN EL SISTEMA DE MONITOREO </w:t>
      </w:r>
      <w:r w:rsidR="00DF6C27">
        <w:rPr>
          <w:rFonts w:ascii="Arial" w:hAnsi="Arial" w:cs="Arial"/>
          <w:b/>
          <w:bCs/>
        </w:rPr>
        <w:t>DE LA</w:t>
      </w:r>
      <w:r w:rsidRPr="00667AE7">
        <w:rPr>
          <w:rFonts w:ascii="Arial" w:hAnsi="Arial" w:cs="Arial"/>
          <w:b/>
          <w:bCs/>
        </w:rPr>
        <w:t xml:space="preserve"> GESTIÓN INTEGRAL SMGI </w:t>
      </w:r>
    </w:p>
    <w:p w14:paraId="6D7BFD28" w14:textId="77777777" w:rsidR="00370A52" w:rsidRPr="00667AE7" w:rsidRDefault="00370A52" w:rsidP="00370A52">
      <w:pPr>
        <w:jc w:val="both"/>
        <w:rPr>
          <w:rFonts w:ascii="Arial" w:hAnsi="Arial" w:cs="Arial"/>
        </w:rPr>
      </w:pPr>
      <w:r w:rsidRPr="00667AE7">
        <w:rPr>
          <w:rFonts w:ascii="Arial" w:hAnsi="Arial" w:cs="Arial"/>
        </w:rPr>
        <w:t xml:space="preserve">Con base en lo verificado a lo largo del seguimiento efectuado al MRC correspondiente al segundo cuatrimestre de la vigencia 2021, no se identificaron observaciones que requieran la programación de acciones en el SMGI. </w:t>
      </w:r>
    </w:p>
    <w:p w14:paraId="48ABC6D7" w14:textId="77777777" w:rsidR="00370A52" w:rsidRPr="00667AE7" w:rsidRDefault="00370A52" w:rsidP="00370A52">
      <w:pPr>
        <w:pStyle w:val="Ttulo1"/>
        <w:numPr>
          <w:ilvl w:val="0"/>
          <w:numId w:val="23"/>
        </w:numPr>
        <w:rPr>
          <w:rFonts w:cs="Arial"/>
          <w:szCs w:val="22"/>
          <w:lang w:eastAsia="es-ES"/>
        </w:rPr>
      </w:pPr>
      <w:r w:rsidRPr="00667AE7">
        <w:rPr>
          <w:rFonts w:cs="Arial"/>
          <w:szCs w:val="22"/>
          <w:lang w:eastAsia="es-ES"/>
        </w:rPr>
        <w:t>CONCLUSIONES</w:t>
      </w:r>
    </w:p>
    <w:p w14:paraId="00F801BF" w14:textId="77777777" w:rsidR="00370A52" w:rsidRPr="00667AE7" w:rsidRDefault="00370A52" w:rsidP="00370A52">
      <w:pPr>
        <w:rPr>
          <w:rFonts w:ascii="Arial" w:hAnsi="Arial" w:cs="Arial"/>
          <w:sz w:val="2"/>
          <w:szCs w:val="2"/>
          <w:lang w:eastAsia="es-ES"/>
        </w:rPr>
      </w:pPr>
    </w:p>
    <w:p w14:paraId="4567B57B" w14:textId="77777777" w:rsidR="00370A52" w:rsidRDefault="00370A52" w:rsidP="00370A52">
      <w:pPr>
        <w:tabs>
          <w:tab w:val="left" w:pos="5727"/>
        </w:tabs>
        <w:jc w:val="both"/>
        <w:rPr>
          <w:rFonts w:ascii="Arial" w:hAnsi="Arial" w:cs="Arial"/>
        </w:rPr>
      </w:pPr>
      <w:r w:rsidRPr="00667AE7">
        <w:rPr>
          <w:rFonts w:ascii="Arial" w:hAnsi="Arial" w:cs="Arial"/>
        </w:rPr>
        <w:t xml:space="preserve">Realizado el seguimiento al MRC, se concluye que en el periodo comprendido entre mayo a agosto– segundo cuatrimestre de 2021, el Ministerio de Hacienda y Crédito Público administró los riesgos de corrupción identificados. La Oficina de Control Interno realizará seguimiento correspondiente al tercer cuatrimestre de la vigencia 2021, de conformidad con lo regulado en el Decreto 124 de 2016.  </w:t>
      </w:r>
    </w:p>
    <w:p w14:paraId="36AA1942" w14:textId="77777777" w:rsidR="00370A52" w:rsidRPr="00667AE7" w:rsidRDefault="00370A52">
      <w:pPr>
        <w:spacing w:after="120"/>
        <w:jc w:val="both"/>
        <w:rPr>
          <w:rFonts w:ascii="Arial" w:hAnsi="Arial" w:cs="Arial"/>
          <w:sz w:val="16"/>
          <w:szCs w:val="16"/>
        </w:rPr>
      </w:pPr>
      <w:r w:rsidRPr="00667AE7">
        <w:rPr>
          <w:rFonts w:ascii="Arial" w:hAnsi="Arial" w:cs="Arial"/>
          <w:sz w:val="16"/>
          <w:szCs w:val="16"/>
        </w:rPr>
        <w:t xml:space="preserve">Las observaciones y recomendaciones presentadas por la Oficina de Control Interno en sus informes tienen como fin último la mejora de los procesos o aspectos respectivos, por lo que se espera sean consideradas por los responsables, como una herramienta que contribuye en la realización de los ajustes, correcciones o mejoras a que haya lugar de manera oportuna, y previa a posibles pronunciamientos de parte de organismos externos de control. </w:t>
      </w:r>
    </w:p>
    <w:p w14:paraId="3697DBA8" w14:textId="77777777" w:rsidR="00370A52" w:rsidRDefault="00370A52" w:rsidP="00703C25">
      <w:pPr>
        <w:tabs>
          <w:tab w:val="left" w:pos="5497"/>
        </w:tabs>
        <w:jc w:val="both"/>
        <w:rPr>
          <w:rFonts w:ascii="Arial" w:hAnsi="Arial" w:cs="Arial"/>
        </w:rPr>
      </w:pPr>
      <w:r w:rsidRPr="00667AE7">
        <w:rPr>
          <w:rFonts w:ascii="Arial" w:hAnsi="Arial" w:cs="Arial"/>
          <w:sz w:val="16"/>
          <w:szCs w:val="16"/>
          <w:lang w:val="es-ES"/>
        </w:rPr>
        <w:t>Los procedimientos de revisión se realizaron sobre unas muestras evaluadas, por lo cual, en el momento de las verificaciones indicadas, se recomienda considerar la revisión de los posibles efectos sobre el total del universo.</w:t>
      </w:r>
      <w:r>
        <w:rPr>
          <w:rFonts w:ascii="Arial" w:hAnsi="Arial" w:cs="Arial"/>
          <w:sz w:val="16"/>
          <w:szCs w:val="16"/>
          <w:lang w:val="es-ES"/>
        </w:rPr>
        <w:t xml:space="preserve">   </w:t>
      </w:r>
    </w:p>
    <w:p w14:paraId="7AD29E55" w14:textId="77777777" w:rsidR="00080368" w:rsidRPr="00F632CE" w:rsidRDefault="00080368" w:rsidP="00703C25">
      <w:pPr>
        <w:jc w:val="center"/>
        <w:rPr>
          <w:rFonts w:ascii="Arial" w:hAnsi="Arial" w:cs="Arial"/>
          <w:sz w:val="16"/>
          <w:szCs w:val="16"/>
        </w:rPr>
      </w:pPr>
    </w:p>
    <w:sectPr w:rsidR="00080368" w:rsidRPr="00F632CE" w:rsidSect="00703C25">
      <w:pgSz w:w="15840" w:h="12240" w:orient="landscape"/>
      <w:pgMar w:top="1440" w:right="1440" w:bottom="1077" w:left="1134" w:header="113"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8B84A" w14:textId="77777777" w:rsidR="00877BB8" w:rsidRDefault="00877BB8" w:rsidP="00E83927">
      <w:pPr>
        <w:spacing w:after="0" w:line="240" w:lineRule="auto"/>
      </w:pPr>
      <w:r>
        <w:separator/>
      </w:r>
    </w:p>
  </w:endnote>
  <w:endnote w:type="continuationSeparator" w:id="0">
    <w:p w14:paraId="48EC995D" w14:textId="77777777" w:rsidR="00877BB8" w:rsidRDefault="00877BB8" w:rsidP="00E83927">
      <w:pPr>
        <w:spacing w:after="0" w:line="240" w:lineRule="auto"/>
      </w:pPr>
      <w:r>
        <w:continuationSeparator/>
      </w:r>
    </w:p>
  </w:endnote>
  <w:endnote w:type="continuationNotice" w:id="1">
    <w:p w14:paraId="027D7CAA" w14:textId="77777777" w:rsidR="00877BB8" w:rsidRDefault="00877B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43555" w14:textId="77777777" w:rsidR="00DD74DB" w:rsidRPr="00727B3A" w:rsidRDefault="00DD74DB" w:rsidP="00727B3A">
    <w:pPr>
      <w:pStyle w:val="Piedepgina"/>
      <w:jc w:val="right"/>
      <w:rPr>
        <w:rFonts w:ascii="Arial" w:hAnsi="Arial" w:cs="Arial"/>
      </w:rPr>
    </w:pPr>
    <w:r w:rsidRPr="00727B3A">
      <w:rPr>
        <w:rFonts w:ascii="Arial" w:hAnsi="Arial" w:cs="Arial"/>
      </w:rPr>
      <w:fldChar w:fldCharType="begin"/>
    </w:r>
    <w:r w:rsidRPr="00727B3A">
      <w:rPr>
        <w:rFonts w:ascii="Arial" w:hAnsi="Arial" w:cs="Arial"/>
      </w:rPr>
      <w:instrText>PAGE   \* MERGEFORMAT</w:instrText>
    </w:r>
    <w:r w:rsidRPr="00727B3A">
      <w:rPr>
        <w:rFonts w:ascii="Arial" w:hAnsi="Arial" w:cs="Arial"/>
      </w:rPr>
      <w:fldChar w:fldCharType="separate"/>
    </w:r>
    <w:r w:rsidR="0070308C" w:rsidRPr="0070308C">
      <w:rPr>
        <w:rFonts w:ascii="Arial" w:hAnsi="Arial" w:cs="Arial"/>
        <w:noProof/>
        <w:lang w:val="es-ES"/>
      </w:rPr>
      <w:t>20</w:t>
    </w:r>
    <w:r w:rsidRPr="00727B3A">
      <w:rPr>
        <w:rFonts w:ascii="Arial" w:hAnsi="Arial" w:cs="Arial"/>
      </w:rPr>
      <w:fldChar w:fldCharType="end"/>
    </w:r>
  </w:p>
  <w:p w14:paraId="499EC13D" w14:textId="1D610BF7" w:rsidR="00DD74DB" w:rsidRPr="00727B3A" w:rsidRDefault="00DD74DB" w:rsidP="00703C25">
    <w:pPr>
      <w:pStyle w:val="Piedepgina"/>
      <w:pBdr>
        <w:top w:val="thickThinSmallGap" w:sz="24" w:space="1" w:color="auto"/>
      </w:pBdr>
      <w:tabs>
        <w:tab w:val="clear" w:pos="4419"/>
        <w:tab w:val="clear" w:pos="8838"/>
        <w:tab w:val="left" w:pos="9000"/>
      </w:tabs>
      <w:ind w:right="360"/>
      <w:jc w:val="center"/>
      <w:rPr>
        <w:rFonts w:ascii="Arial" w:hAnsi="Arial" w:cs="Arial"/>
        <w:b/>
      </w:rPr>
    </w:pPr>
    <w:r w:rsidRPr="00727B3A">
      <w:rPr>
        <w:rFonts w:ascii="Arial" w:hAnsi="Arial" w:cs="Arial"/>
        <w:b/>
      </w:rPr>
      <w:t>Oficina de Con</w:t>
    </w:r>
    <w:r>
      <w:rPr>
        <w:rFonts w:ascii="Arial" w:hAnsi="Arial" w:cs="Arial"/>
        <w:b/>
      </w:rPr>
      <w:t xml:space="preserve">trol </w:t>
    </w:r>
    <w:r w:rsidRPr="00506023">
      <w:rPr>
        <w:rFonts w:ascii="Arial" w:hAnsi="Arial" w:cs="Arial"/>
        <w:b/>
      </w:rPr>
      <w:t xml:space="preserve">Interno </w:t>
    </w:r>
    <w:r w:rsidR="00771DF1">
      <w:rPr>
        <w:rFonts w:ascii="Arial" w:hAnsi="Arial" w:cs="Arial"/>
        <w:b/>
      </w:rPr>
      <w:t xml:space="preserve">                         </w:t>
    </w:r>
    <w:r w:rsidRPr="00771DF1">
      <w:rPr>
        <w:rFonts w:ascii="Arial" w:hAnsi="Arial" w:cs="Arial"/>
        <w:b/>
      </w:rPr>
      <w:t xml:space="preserve">Informe </w:t>
    </w:r>
    <w:r w:rsidR="00771DF1" w:rsidRPr="00771DF1">
      <w:rPr>
        <w:rFonts w:ascii="Arial" w:hAnsi="Arial" w:cs="Arial"/>
        <w:b/>
      </w:rPr>
      <w:t>202</w:t>
    </w:r>
    <w:r w:rsidR="005E5D5B">
      <w:rPr>
        <w:rFonts w:ascii="Arial" w:hAnsi="Arial" w:cs="Arial"/>
        <w:b/>
      </w:rPr>
      <w:t>1</w:t>
    </w:r>
    <w:r w:rsidRPr="00771DF1">
      <w:rPr>
        <w:rFonts w:ascii="Arial" w:hAnsi="Arial" w:cs="Arial"/>
        <w:b/>
      </w:rPr>
      <w:t>-ARL-</w:t>
    </w:r>
    <w:r w:rsidR="00335A66">
      <w:rPr>
        <w:rFonts w:ascii="Arial" w:hAnsi="Arial" w:cs="Arial"/>
        <w:b/>
      </w:rPr>
      <w:t>59</w:t>
    </w:r>
    <w:r w:rsidR="00CE4B88" w:rsidRPr="00771DF1">
      <w:rPr>
        <w:rFonts w:ascii="Arial" w:hAnsi="Arial" w:cs="Arial"/>
        <w:b/>
      </w:rPr>
      <w:t xml:space="preserve"> </w:t>
    </w:r>
    <w:r w:rsidRPr="00771DF1">
      <w:rPr>
        <w:rFonts w:ascii="Arial" w:hAnsi="Arial" w:cs="Arial"/>
        <w:b/>
      </w:rPr>
      <w:t xml:space="preserve">del </w:t>
    </w:r>
    <w:r w:rsidR="00335A66">
      <w:rPr>
        <w:rFonts w:ascii="Arial" w:hAnsi="Arial" w:cs="Arial"/>
        <w:b/>
      </w:rPr>
      <w:t>14</w:t>
    </w:r>
    <w:r w:rsidR="00771DF1" w:rsidRPr="00771DF1">
      <w:rPr>
        <w:rFonts w:ascii="Arial" w:hAnsi="Arial" w:cs="Arial"/>
        <w:b/>
      </w:rPr>
      <w:t xml:space="preserve"> de</w:t>
    </w:r>
    <w:r w:rsidR="002930A8">
      <w:rPr>
        <w:rFonts w:ascii="Arial" w:hAnsi="Arial" w:cs="Arial"/>
        <w:b/>
      </w:rPr>
      <w:t xml:space="preserve"> septiembre</w:t>
    </w:r>
    <w:r w:rsidR="009354D6">
      <w:rPr>
        <w:rFonts w:ascii="Arial" w:hAnsi="Arial" w:cs="Arial"/>
        <w:b/>
      </w:rPr>
      <w:t xml:space="preserve"> de 202</w:t>
    </w:r>
    <w:r w:rsidR="005E5D5B">
      <w:rPr>
        <w:rFonts w:ascii="Arial" w:hAnsi="Arial" w:cs="Arial"/>
        <w:b/>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12F11" w14:textId="77777777" w:rsidR="00877BB8" w:rsidRDefault="00877BB8" w:rsidP="00E83927">
      <w:pPr>
        <w:spacing w:after="0" w:line="240" w:lineRule="auto"/>
      </w:pPr>
      <w:r>
        <w:separator/>
      </w:r>
    </w:p>
  </w:footnote>
  <w:footnote w:type="continuationSeparator" w:id="0">
    <w:p w14:paraId="30DFA7D1" w14:textId="77777777" w:rsidR="00877BB8" w:rsidRDefault="00877BB8" w:rsidP="00E83927">
      <w:pPr>
        <w:spacing w:after="0" w:line="240" w:lineRule="auto"/>
      </w:pPr>
      <w:r>
        <w:continuationSeparator/>
      </w:r>
    </w:p>
  </w:footnote>
  <w:footnote w:type="continuationNotice" w:id="1">
    <w:p w14:paraId="1BA8BAFA" w14:textId="77777777" w:rsidR="00877BB8" w:rsidRDefault="00877B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5C3B2" w14:textId="77777777" w:rsidR="00DD74DB" w:rsidRDefault="00DD74DB" w:rsidP="00A01C68">
    <w:pPr>
      <w:pStyle w:val="Encabezado"/>
      <w:jc w:val="center"/>
    </w:pPr>
    <w:r>
      <w:t xml:space="preserve">                                                                                                                                                                                                        </w:t>
    </w:r>
  </w:p>
  <w:p w14:paraId="20F15B55" w14:textId="77777777" w:rsidR="00DD74DB" w:rsidRDefault="00DD74DB">
    <w:pPr>
      <w:pStyle w:val="Encabezado"/>
    </w:pPr>
    <w:r>
      <w:rPr>
        <w:noProof/>
        <w:lang w:eastAsia="es-CO"/>
      </w:rPr>
      <w:drawing>
        <wp:inline distT="0" distB="0" distL="0" distR="0" wp14:anchorId="6E09355D" wp14:editId="72511137">
          <wp:extent cx="2245576" cy="552265"/>
          <wp:effectExtent l="0" t="0" r="254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inhacienda-web.png"/>
                  <pic:cNvPicPr/>
                </pic:nvPicPr>
                <pic:blipFill>
                  <a:blip r:embed="rId1">
                    <a:extLst>
                      <a:ext uri="{28A0092B-C50C-407E-A947-70E740481C1C}">
                        <a14:useLocalDpi xmlns:a14="http://schemas.microsoft.com/office/drawing/2010/main" val="0"/>
                      </a:ext>
                    </a:extLst>
                  </a:blip>
                  <a:stretch>
                    <a:fillRect/>
                  </a:stretch>
                </pic:blipFill>
                <pic:spPr>
                  <a:xfrm>
                    <a:off x="0" y="0"/>
                    <a:ext cx="2299423" cy="5655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269A8"/>
    <w:multiLevelType w:val="hybridMultilevel"/>
    <w:tmpl w:val="3BEA0E3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8806E5D"/>
    <w:multiLevelType w:val="multilevel"/>
    <w:tmpl w:val="B9D6E6A0"/>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CB43747"/>
    <w:multiLevelType w:val="hybridMultilevel"/>
    <w:tmpl w:val="95B8409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D5438AD"/>
    <w:multiLevelType w:val="hybridMultilevel"/>
    <w:tmpl w:val="FFB4346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0765655"/>
    <w:multiLevelType w:val="hybridMultilevel"/>
    <w:tmpl w:val="665EB2F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D4021C"/>
    <w:multiLevelType w:val="hybridMultilevel"/>
    <w:tmpl w:val="4F2CAE7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C214208"/>
    <w:multiLevelType w:val="hybridMultilevel"/>
    <w:tmpl w:val="72860B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D390F1A"/>
    <w:multiLevelType w:val="hybridMultilevel"/>
    <w:tmpl w:val="F49207F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6772F4C"/>
    <w:multiLevelType w:val="hybridMultilevel"/>
    <w:tmpl w:val="559C99B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A342370"/>
    <w:multiLevelType w:val="hybridMultilevel"/>
    <w:tmpl w:val="232CA494"/>
    <w:lvl w:ilvl="0" w:tplc="1580105E">
      <w:start w:val="1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A36777C"/>
    <w:multiLevelType w:val="hybridMultilevel"/>
    <w:tmpl w:val="B296984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ACE2F25"/>
    <w:multiLevelType w:val="hybridMultilevel"/>
    <w:tmpl w:val="B120C3F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BC70B46"/>
    <w:multiLevelType w:val="multilevel"/>
    <w:tmpl w:val="04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5115"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15:restartNumberingAfterBreak="0">
    <w:nsid w:val="6C124AE8"/>
    <w:multiLevelType w:val="multilevel"/>
    <w:tmpl w:val="2B3C18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3A72725"/>
    <w:multiLevelType w:val="hybridMultilevel"/>
    <w:tmpl w:val="E40E8E2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6CD555B"/>
    <w:multiLevelType w:val="hybridMultilevel"/>
    <w:tmpl w:val="D00A967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7BF1D9F"/>
    <w:multiLevelType w:val="hybridMultilevel"/>
    <w:tmpl w:val="6A188F34"/>
    <w:lvl w:ilvl="0" w:tplc="61EAE93C">
      <w:start w:val="10"/>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9A04AD7"/>
    <w:multiLevelType w:val="hybridMultilevel"/>
    <w:tmpl w:val="72081FE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9B858B6"/>
    <w:multiLevelType w:val="hybridMultilevel"/>
    <w:tmpl w:val="F2BCDD04"/>
    <w:lvl w:ilvl="0" w:tplc="0409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D270A4A"/>
    <w:multiLevelType w:val="hybridMultilevel"/>
    <w:tmpl w:val="95B8409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DC5437A"/>
    <w:multiLevelType w:val="hybridMultilevel"/>
    <w:tmpl w:val="E81ABFA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EB94411"/>
    <w:multiLevelType w:val="hybridMultilevel"/>
    <w:tmpl w:val="0C880E4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13"/>
  </w:num>
  <w:num w:numId="6">
    <w:abstractNumId w:val="17"/>
  </w:num>
  <w:num w:numId="7">
    <w:abstractNumId w:val="8"/>
  </w:num>
  <w:num w:numId="8">
    <w:abstractNumId w:val="20"/>
  </w:num>
  <w:num w:numId="9">
    <w:abstractNumId w:val="19"/>
  </w:num>
  <w:num w:numId="10">
    <w:abstractNumId w:val="15"/>
  </w:num>
  <w:num w:numId="11">
    <w:abstractNumId w:val="21"/>
  </w:num>
  <w:num w:numId="12">
    <w:abstractNumId w:val="5"/>
  </w:num>
  <w:num w:numId="13">
    <w:abstractNumId w:val="3"/>
  </w:num>
  <w:num w:numId="14">
    <w:abstractNumId w:val="10"/>
  </w:num>
  <w:num w:numId="15">
    <w:abstractNumId w:val="12"/>
  </w:num>
  <w:num w:numId="16">
    <w:abstractNumId w:val="9"/>
  </w:num>
  <w:num w:numId="17">
    <w:abstractNumId w:val="16"/>
  </w:num>
  <w:num w:numId="18">
    <w:abstractNumId w:val="7"/>
  </w:num>
  <w:num w:numId="19">
    <w:abstractNumId w:val="11"/>
  </w:num>
  <w:num w:numId="20">
    <w:abstractNumId w:val="14"/>
  </w:num>
  <w:num w:numId="21">
    <w:abstractNumId w:val="18"/>
  </w:num>
  <w:num w:numId="22">
    <w:abstractNumId w:val="12"/>
  </w:num>
  <w:num w:numId="23">
    <w:abstractNumId w:val="12"/>
    <w:lvlOverride w:ilvl="0">
      <w:startOverride w:val="4"/>
    </w:lvlOverride>
  </w:num>
  <w:num w:numId="24">
    <w:abstractNumId w:val="6"/>
  </w:num>
  <w:num w:numId="2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27"/>
    <w:rsid w:val="00000D11"/>
    <w:rsid w:val="0000261C"/>
    <w:rsid w:val="00003915"/>
    <w:rsid w:val="00005E59"/>
    <w:rsid w:val="00006465"/>
    <w:rsid w:val="000066C4"/>
    <w:rsid w:val="00007A74"/>
    <w:rsid w:val="00010AC7"/>
    <w:rsid w:val="0001143D"/>
    <w:rsid w:val="00011760"/>
    <w:rsid w:val="00012966"/>
    <w:rsid w:val="00013221"/>
    <w:rsid w:val="0001426D"/>
    <w:rsid w:val="00014314"/>
    <w:rsid w:val="000147B3"/>
    <w:rsid w:val="000167F5"/>
    <w:rsid w:val="000172D4"/>
    <w:rsid w:val="00017DC3"/>
    <w:rsid w:val="00020117"/>
    <w:rsid w:val="000203E1"/>
    <w:rsid w:val="00020915"/>
    <w:rsid w:val="000209F2"/>
    <w:rsid w:val="00020FE6"/>
    <w:rsid w:val="00021A82"/>
    <w:rsid w:val="00021D27"/>
    <w:rsid w:val="00021F40"/>
    <w:rsid w:val="00022649"/>
    <w:rsid w:val="000227D4"/>
    <w:rsid w:val="00023E53"/>
    <w:rsid w:val="000240F9"/>
    <w:rsid w:val="00024D9E"/>
    <w:rsid w:val="00024F90"/>
    <w:rsid w:val="000252CB"/>
    <w:rsid w:val="00025524"/>
    <w:rsid w:val="000267AF"/>
    <w:rsid w:val="00027467"/>
    <w:rsid w:val="00027A46"/>
    <w:rsid w:val="0003023F"/>
    <w:rsid w:val="000309B4"/>
    <w:rsid w:val="00032895"/>
    <w:rsid w:val="00034B96"/>
    <w:rsid w:val="00036418"/>
    <w:rsid w:val="00036EFD"/>
    <w:rsid w:val="00037BF6"/>
    <w:rsid w:val="00041284"/>
    <w:rsid w:val="00041C35"/>
    <w:rsid w:val="00041F28"/>
    <w:rsid w:val="0004243A"/>
    <w:rsid w:val="00042650"/>
    <w:rsid w:val="000429AC"/>
    <w:rsid w:val="00043EEA"/>
    <w:rsid w:val="000451C9"/>
    <w:rsid w:val="000458D3"/>
    <w:rsid w:val="0004605E"/>
    <w:rsid w:val="000465E6"/>
    <w:rsid w:val="00047549"/>
    <w:rsid w:val="00047EC0"/>
    <w:rsid w:val="00050DB7"/>
    <w:rsid w:val="00050ECC"/>
    <w:rsid w:val="000528CF"/>
    <w:rsid w:val="00052B1D"/>
    <w:rsid w:val="0005387F"/>
    <w:rsid w:val="00054C85"/>
    <w:rsid w:val="0005610A"/>
    <w:rsid w:val="000561FB"/>
    <w:rsid w:val="0005630D"/>
    <w:rsid w:val="000566E3"/>
    <w:rsid w:val="00057458"/>
    <w:rsid w:val="00060FA9"/>
    <w:rsid w:val="00061315"/>
    <w:rsid w:val="00062292"/>
    <w:rsid w:val="000646B6"/>
    <w:rsid w:val="00064DFE"/>
    <w:rsid w:val="00065364"/>
    <w:rsid w:val="00066DC7"/>
    <w:rsid w:val="00067260"/>
    <w:rsid w:val="00067375"/>
    <w:rsid w:val="00067A33"/>
    <w:rsid w:val="00070479"/>
    <w:rsid w:val="000707CC"/>
    <w:rsid w:val="00070961"/>
    <w:rsid w:val="0007136E"/>
    <w:rsid w:val="00072476"/>
    <w:rsid w:val="00072774"/>
    <w:rsid w:val="00074BB7"/>
    <w:rsid w:val="00075BF3"/>
    <w:rsid w:val="00075D3C"/>
    <w:rsid w:val="00076DBF"/>
    <w:rsid w:val="00080368"/>
    <w:rsid w:val="00080C72"/>
    <w:rsid w:val="00081664"/>
    <w:rsid w:val="000817C3"/>
    <w:rsid w:val="00082A29"/>
    <w:rsid w:val="00082C5F"/>
    <w:rsid w:val="00083237"/>
    <w:rsid w:val="0008342A"/>
    <w:rsid w:val="000846A3"/>
    <w:rsid w:val="0008542B"/>
    <w:rsid w:val="00085779"/>
    <w:rsid w:val="00085F1D"/>
    <w:rsid w:val="00086ACB"/>
    <w:rsid w:val="00086FA7"/>
    <w:rsid w:val="00087190"/>
    <w:rsid w:val="000878CD"/>
    <w:rsid w:val="00087A27"/>
    <w:rsid w:val="00087D07"/>
    <w:rsid w:val="00091314"/>
    <w:rsid w:val="00091861"/>
    <w:rsid w:val="00091C4F"/>
    <w:rsid w:val="00093810"/>
    <w:rsid w:val="00094326"/>
    <w:rsid w:val="000943BA"/>
    <w:rsid w:val="00094A5B"/>
    <w:rsid w:val="000953FC"/>
    <w:rsid w:val="0009547F"/>
    <w:rsid w:val="000958D3"/>
    <w:rsid w:val="0009653B"/>
    <w:rsid w:val="0009698A"/>
    <w:rsid w:val="000A0B01"/>
    <w:rsid w:val="000A0DF2"/>
    <w:rsid w:val="000A16A7"/>
    <w:rsid w:val="000A1DD4"/>
    <w:rsid w:val="000A218A"/>
    <w:rsid w:val="000A3DB1"/>
    <w:rsid w:val="000A547B"/>
    <w:rsid w:val="000A5DCF"/>
    <w:rsid w:val="000A5DEB"/>
    <w:rsid w:val="000A65F3"/>
    <w:rsid w:val="000A693A"/>
    <w:rsid w:val="000A6EC3"/>
    <w:rsid w:val="000B1478"/>
    <w:rsid w:val="000B1776"/>
    <w:rsid w:val="000B1F67"/>
    <w:rsid w:val="000B2811"/>
    <w:rsid w:val="000B2F89"/>
    <w:rsid w:val="000B3F08"/>
    <w:rsid w:val="000B4647"/>
    <w:rsid w:val="000B4668"/>
    <w:rsid w:val="000B5928"/>
    <w:rsid w:val="000B7057"/>
    <w:rsid w:val="000B7218"/>
    <w:rsid w:val="000B79CB"/>
    <w:rsid w:val="000C0DE1"/>
    <w:rsid w:val="000C18E0"/>
    <w:rsid w:val="000C1C85"/>
    <w:rsid w:val="000C3EB7"/>
    <w:rsid w:val="000C4D82"/>
    <w:rsid w:val="000C4DB9"/>
    <w:rsid w:val="000C58E2"/>
    <w:rsid w:val="000C5DC4"/>
    <w:rsid w:val="000C6068"/>
    <w:rsid w:val="000C60D4"/>
    <w:rsid w:val="000C6514"/>
    <w:rsid w:val="000C70FF"/>
    <w:rsid w:val="000C7746"/>
    <w:rsid w:val="000D051F"/>
    <w:rsid w:val="000D05E5"/>
    <w:rsid w:val="000D0766"/>
    <w:rsid w:val="000D1343"/>
    <w:rsid w:val="000D18B7"/>
    <w:rsid w:val="000D25E8"/>
    <w:rsid w:val="000D34B6"/>
    <w:rsid w:val="000D4198"/>
    <w:rsid w:val="000D484B"/>
    <w:rsid w:val="000D4A38"/>
    <w:rsid w:val="000D5EC8"/>
    <w:rsid w:val="000D7E9C"/>
    <w:rsid w:val="000D7F1C"/>
    <w:rsid w:val="000E0A7C"/>
    <w:rsid w:val="000E1887"/>
    <w:rsid w:val="000E1BD8"/>
    <w:rsid w:val="000E1CB0"/>
    <w:rsid w:val="000E1EDB"/>
    <w:rsid w:val="000E26E8"/>
    <w:rsid w:val="000E2FD9"/>
    <w:rsid w:val="000E4B35"/>
    <w:rsid w:val="000E4CEC"/>
    <w:rsid w:val="000E55AB"/>
    <w:rsid w:val="000E60FD"/>
    <w:rsid w:val="000E6F89"/>
    <w:rsid w:val="000E7715"/>
    <w:rsid w:val="000E7DC9"/>
    <w:rsid w:val="000F0F5C"/>
    <w:rsid w:val="000F1279"/>
    <w:rsid w:val="000F2C6E"/>
    <w:rsid w:val="000F3C3E"/>
    <w:rsid w:val="000F4DE0"/>
    <w:rsid w:val="000F53D7"/>
    <w:rsid w:val="000F554C"/>
    <w:rsid w:val="000F5ACC"/>
    <w:rsid w:val="000F6A41"/>
    <w:rsid w:val="000F7765"/>
    <w:rsid w:val="000F7D26"/>
    <w:rsid w:val="000F7E17"/>
    <w:rsid w:val="001000BB"/>
    <w:rsid w:val="0010144F"/>
    <w:rsid w:val="001018A7"/>
    <w:rsid w:val="00101A73"/>
    <w:rsid w:val="0010269D"/>
    <w:rsid w:val="0010342D"/>
    <w:rsid w:val="00103F1E"/>
    <w:rsid w:val="001046FA"/>
    <w:rsid w:val="00106F0D"/>
    <w:rsid w:val="00107EA3"/>
    <w:rsid w:val="0011035B"/>
    <w:rsid w:val="00110C9D"/>
    <w:rsid w:val="0011125C"/>
    <w:rsid w:val="00111F5A"/>
    <w:rsid w:val="0011262B"/>
    <w:rsid w:val="00112E7A"/>
    <w:rsid w:val="00113017"/>
    <w:rsid w:val="00113471"/>
    <w:rsid w:val="00115319"/>
    <w:rsid w:val="001159C8"/>
    <w:rsid w:val="00116890"/>
    <w:rsid w:val="00116914"/>
    <w:rsid w:val="00116B18"/>
    <w:rsid w:val="00117FA4"/>
    <w:rsid w:val="00120120"/>
    <w:rsid w:val="00122583"/>
    <w:rsid w:val="00122AB8"/>
    <w:rsid w:val="001241BD"/>
    <w:rsid w:val="00124E9B"/>
    <w:rsid w:val="00126333"/>
    <w:rsid w:val="00127020"/>
    <w:rsid w:val="001271C2"/>
    <w:rsid w:val="00130A71"/>
    <w:rsid w:val="0013139E"/>
    <w:rsid w:val="001324D7"/>
    <w:rsid w:val="00135883"/>
    <w:rsid w:val="001359CC"/>
    <w:rsid w:val="00135BC2"/>
    <w:rsid w:val="00137129"/>
    <w:rsid w:val="00137E9D"/>
    <w:rsid w:val="00140999"/>
    <w:rsid w:val="001427E3"/>
    <w:rsid w:val="00143230"/>
    <w:rsid w:val="00143534"/>
    <w:rsid w:val="00143D4B"/>
    <w:rsid w:val="001443C0"/>
    <w:rsid w:val="0014506A"/>
    <w:rsid w:val="001452AA"/>
    <w:rsid w:val="00145795"/>
    <w:rsid w:val="0014590B"/>
    <w:rsid w:val="00146084"/>
    <w:rsid w:val="00146744"/>
    <w:rsid w:val="001477FE"/>
    <w:rsid w:val="00150653"/>
    <w:rsid w:val="00150B86"/>
    <w:rsid w:val="00151008"/>
    <w:rsid w:val="0015102A"/>
    <w:rsid w:val="001513F9"/>
    <w:rsid w:val="00151BDF"/>
    <w:rsid w:val="00151CBD"/>
    <w:rsid w:val="00152B9F"/>
    <w:rsid w:val="001532F8"/>
    <w:rsid w:val="00153906"/>
    <w:rsid w:val="00154010"/>
    <w:rsid w:val="00155479"/>
    <w:rsid w:val="00155B8B"/>
    <w:rsid w:val="00155D73"/>
    <w:rsid w:val="00155E87"/>
    <w:rsid w:val="00156245"/>
    <w:rsid w:val="0015636C"/>
    <w:rsid w:val="0015646F"/>
    <w:rsid w:val="00156B26"/>
    <w:rsid w:val="00156F56"/>
    <w:rsid w:val="0016139C"/>
    <w:rsid w:val="00161477"/>
    <w:rsid w:val="00162C5A"/>
    <w:rsid w:val="0016549B"/>
    <w:rsid w:val="00165712"/>
    <w:rsid w:val="001657B5"/>
    <w:rsid w:val="00166A27"/>
    <w:rsid w:val="00167002"/>
    <w:rsid w:val="00167229"/>
    <w:rsid w:val="001705AB"/>
    <w:rsid w:val="00170C02"/>
    <w:rsid w:val="00172712"/>
    <w:rsid w:val="00172C2C"/>
    <w:rsid w:val="001742A8"/>
    <w:rsid w:val="001755D7"/>
    <w:rsid w:val="00175B4B"/>
    <w:rsid w:val="00175B88"/>
    <w:rsid w:val="00176ADC"/>
    <w:rsid w:val="00176D60"/>
    <w:rsid w:val="001800F6"/>
    <w:rsid w:val="0018049B"/>
    <w:rsid w:val="0018081E"/>
    <w:rsid w:val="001819FA"/>
    <w:rsid w:val="00181F7E"/>
    <w:rsid w:val="00183611"/>
    <w:rsid w:val="00183642"/>
    <w:rsid w:val="00183E33"/>
    <w:rsid w:val="00184D47"/>
    <w:rsid w:val="00185F6B"/>
    <w:rsid w:val="0018638F"/>
    <w:rsid w:val="001863F1"/>
    <w:rsid w:val="001868CE"/>
    <w:rsid w:val="00186D5D"/>
    <w:rsid w:val="00190DD5"/>
    <w:rsid w:val="00191D8C"/>
    <w:rsid w:val="00192619"/>
    <w:rsid w:val="001932A2"/>
    <w:rsid w:val="0019355A"/>
    <w:rsid w:val="0019423B"/>
    <w:rsid w:val="001944D5"/>
    <w:rsid w:val="001946E2"/>
    <w:rsid w:val="0019475E"/>
    <w:rsid w:val="001948C2"/>
    <w:rsid w:val="00194EFD"/>
    <w:rsid w:val="001951A1"/>
    <w:rsid w:val="0019624B"/>
    <w:rsid w:val="001965FF"/>
    <w:rsid w:val="00196C0A"/>
    <w:rsid w:val="00197FD0"/>
    <w:rsid w:val="001A03C4"/>
    <w:rsid w:val="001A0E51"/>
    <w:rsid w:val="001A1454"/>
    <w:rsid w:val="001A196F"/>
    <w:rsid w:val="001A32B9"/>
    <w:rsid w:val="001A4D4A"/>
    <w:rsid w:val="001A548C"/>
    <w:rsid w:val="001A5ED9"/>
    <w:rsid w:val="001A6543"/>
    <w:rsid w:val="001A6708"/>
    <w:rsid w:val="001A6F88"/>
    <w:rsid w:val="001A726A"/>
    <w:rsid w:val="001A770B"/>
    <w:rsid w:val="001B0B99"/>
    <w:rsid w:val="001B0E91"/>
    <w:rsid w:val="001B142F"/>
    <w:rsid w:val="001B1A7F"/>
    <w:rsid w:val="001B25FD"/>
    <w:rsid w:val="001B4395"/>
    <w:rsid w:val="001B49E1"/>
    <w:rsid w:val="001B4E99"/>
    <w:rsid w:val="001B6457"/>
    <w:rsid w:val="001B6BC8"/>
    <w:rsid w:val="001B6CAE"/>
    <w:rsid w:val="001B7ABD"/>
    <w:rsid w:val="001C0035"/>
    <w:rsid w:val="001C029A"/>
    <w:rsid w:val="001C0696"/>
    <w:rsid w:val="001C0E4D"/>
    <w:rsid w:val="001C18C1"/>
    <w:rsid w:val="001C23B5"/>
    <w:rsid w:val="001C27E7"/>
    <w:rsid w:val="001C34A1"/>
    <w:rsid w:val="001C4128"/>
    <w:rsid w:val="001C4267"/>
    <w:rsid w:val="001C4915"/>
    <w:rsid w:val="001C5B04"/>
    <w:rsid w:val="001C64F0"/>
    <w:rsid w:val="001C681A"/>
    <w:rsid w:val="001C69FC"/>
    <w:rsid w:val="001C774F"/>
    <w:rsid w:val="001C7915"/>
    <w:rsid w:val="001C7C68"/>
    <w:rsid w:val="001D024D"/>
    <w:rsid w:val="001D1B70"/>
    <w:rsid w:val="001D1F8C"/>
    <w:rsid w:val="001D1F9B"/>
    <w:rsid w:val="001D2A97"/>
    <w:rsid w:val="001D47A0"/>
    <w:rsid w:val="001D6A9C"/>
    <w:rsid w:val="001D70FF"/>
    <w:rsid w:val="001D7EA7"/>
    <w:rsid w:val="001E16D0"/>
    <w:rsid w:val="001E2006"/>
    <w:rsid w:val="001E212F"/>
    <w:rsid w:val="001E2267"/>
    <w:rsid w:val="001E3861"/>
    <w:rsid w:val="001E3A9A"/>
    <w:rsid w:val="001E445C"/>
    <w:rsid w:val="001E54D4"/>
    <w:rsid w:val="001E644D"/>
    <w:rsid w:val="001E6A58"/>
    <w:rsid w:val="001E7A24"/>
    <w:rsid w:val="001F069B"/>
    <w:rsid w:val="001F161E"/>
    <w:rsid w:val="001F1D82"/>
    <w:rsid w:val="001F2986"/>
    <w:rsid w:val="001F3C1C"/>
    <w:rsid w:val="001F4B34"/>
    <w:rsid w:val="001F5C22"/>
    <w:rsid w:val="001F61AC"/>
    <w:rsid w:val="001F6371"/>
    <w:rsid w:val="001F7871"/>
    <w:rsid w:val="001F7A70"/>
    <w:rsid w:val="001F7CAB"/>
    <w:rsid w:val="001F7EFD"/>
    <w:rsid w:val="0020072A"/>
    <w:rsid w:val="00200A9B"/>
    <w:rsid w:val="002011A8"/>
    <w:rsid w:val="00201895"/>
    <w:rsid w:val="0020314A"/>
    <w:rsid w:val="0020397E"/>
    <w:rsid w:val="00204E2B"/>
    <w:rsid w:val="002053FE"/>
    <w:rsid w:val="0020590D"/>
    <w:rsid w:val="00205EC9"/>
    <w:rsid w:val="002061E2"/>
    <w:rsid w:val="00206301"/>
    <w:rsid w:val="00206C43"/>
    <w:rsid w:val="00206CCF"/>
    <w:rsid w:val="00206CDC"/>
    <w:rsid w:val="0020776A"/>
    <w:rsid w:val="00207F38"/>
    <w:rsid w:val="00207FD9"/>
    <w:rsid w:val="00210262"/>
    <w:rsid w:val="00210408"/>
    <w:rsid w:val="00210701"/>
    <w:rsid w:val="00210CE0"/>
    <w:rsid w:val="00210D47"/>
    <w:rsid w:val="00210DF4"/>
    <w:rsid w:val="002111F6"/>
    <w:rsid w:val="00211341"/>
    <w:rsid w:val="002120D6"/>
    <w:rsid w:val="002121BD"/>
    <w:rsid w:val="002123F7"/>
    <w:rsid w:val="002131F0"/>
    <w:rsid w:val="00213200"/>
    <w:rsid w:val="0021330D"/>
    <w:rsid w:val="002139B7"/>
    <w:rsid w:val="00213D79"/>
    <w:rsid w:val="002140DD"/>
    <w:rsid w:val="00214491"/>
    <w:rsid w:val="002159EF"/>
    <w:rsid w:val="00216108"/>
    <w:rsid w:val="002166E1"/>
    <w:rsid w:val="002177BB"/>
    <w:rsid w:val="00217E25"/>
    <w:rsid w:val="002209D3"/>
    <w:rsid w:val="00221816"/>
    <w:rsid w:val="00221FD4"/>
    <w:rsid w:val="0022231F"/>
    <w:rsid w:val="0022281B"/>
    <w:rsid w:val="00222AFC"/>
    <w:rsid w:val="00222C74"/>
    <w:rsid w:val="00225456"/>
    <w:rsid w:val="00225644"/>
    <w:rsid w:val="00225A5A"/>
    <w:rsid w:val="00225AB3"/>
    <w:rsid w:val="00225E2E"/>
    <w:rsid w:val="002306F7"/>
    <w:rsid w:val="002307D1"/>
    <w:rsid w:val="002312A0"/>
    <w:rsid w:val="002316B5"/>
    <w:rsid w:val="00231B98"/>
    <w:rsid w:val="00231CE6"/>
    <w:rsid w:val="002320CB"/>
    <w:rsid w:val="0023275B"/>
    <w:rsid w:val="00233E4C"/>
    <w:rsid w:val="0023501B"/>
    <w:rsid w:val="00236CBC"/>
    <w:rsid w:val="00237510"/>
    <w:rsid w:val="0023796C"/>
    <w:rsid w:val="00237C1B"/>
    <w:rsid w:val="00237DCC"/>
    <w:rsid w:val="00240C7D"/>
    <w:rsid w:val="00241343"/>
    <w:rsid w:val="002414D6"/>
    <w:rsid w:val="0024179A"/>
    <w:rsid w:val="00241AD1"/>
    <w:rsid w:val="0024231F"/>
    <w:rsid w:val="0024252F"/>
    <w:rsid w:val="00244242"/>
    <w:rsid w:val="0024658A"/>
    <w:rsid w:val="00251136"/>
    <w:rsid w:val="002511E2"/>
    <w:rsid w:val="002517AC"/>
    <w:rsid w:val="00251E3A"/>
    <w:rsid w:val="00251EAA"/>
    <w:rsid w:val="00251FB1"/>
    <w:rsid w:val="0025205A"/>
    <w:rsid w:val="00252482"/>
    <w:rsid w:val="002531B2"/>
    <w:rsid w:val="0025341C"/>
    <w:rsid w:val="002537D9"/>
    <w:rsid w:val="00254229"/>
    <w:rsid w:val="002552A9"/>
    <w:rsid w:val="00255801"/>
    <w:rsid w:val="0025722C"/>
    <w:rsid w:val="0026138B"/>
    <w:rsid w:val="00261D6D"/>
    <w:rsid w:val="002622DC"/>
    <w:rsid w:val="002632BA"/>
    <w:rsid w:val="00263479"/>
    <w:rsid w:val="0026426D"/>
    <w:rsid w:val="002642AC"/>
    <w:rsid w:val="0026431A"/>
    <w:rsid w:val="00264C24"/>
    <w:rsid w:val="0026611E"/>
    <w:rsid w:val="00266239"/>
    <w:rsid w:val="002668C0"/>
    <w:rsid w:val="002678A1"/>
    <w:rsid w:val="00267D7B"/>
    <w:rsid w:val="0027116D"/>
    <w:rsid w:val="00271629"/>
    <w:rsid w:val="00271C0C"/>
    <w:rsid w:val="00271D90"/>
    <w:rsid w:val="0027273C"/>
    <w:rsid w:val="00274B52"/>
    <w:rsid w:val="0027504B"/>
    <w:rsid w:val="00276768"/>
    <w:rsid w:val="00280B31"/>
    <w:rsid w:val="00280DDE"/>
    <w:rsid w:val="00282802"/>
    <w:rsid w:val="002830C5"/>
    <w:rsid w:val="002849F1"/>
    <w:rsid w:val="002850D6"/>
    <w:rsid w:val="0028542A"/>
    <w:rsid w:val="00285724"/>
    <w:rsid w:val="00286EEE"/>
    <w:rsid w:val="002911E1"/>
    <w:rsid w:val="00291AA6"/>
    <w:rsid w:val="00292B51"/>
    <w:rsid w:val="00292DCF"/>
    <w:rsid w:val="002930A8"/>
    <w:rsid w:val="002933D7"/>
    <w:rsid w:val="00293730"/>
    <w:rsid w:val="00293CDC"/>
    <w:rsid w:val="00295997"/>
    <w:rsid w:val="002962BE"/>
    <w:rsid w:val="00296762"/>
    <w:rsid w:val="002968A5"/>
    <w:rsid w:val="002969E5"/>
    <w:rsid w:val="00296CB8"/>
    <w:rsid w:val="00297411"/>
    <w:rsid w:val="00297428"/>
    <w:rsid w:val="002A0084"/>
    <w:rsid w:val="002A01C7"/>
    <w:rsid w:val="002A05E7"/>
    <w:rsid w:val="002A0DFD"/>
    <w:rsid w:val="002A1749"/>
    <w:rsid w:val="002A372C"/>
    <w:rsid w:val="002A46CB"/>
    <w:rsid w:val="002A4940"/>
    <w:rsid w:val="002A54E5"/>
    <w:rsid w:val="002A7C42"/>
    <w:rsid w:val="002A7D88"/>
    <w:rsid w:val="002B07BE"/>
    <w:rsid w:val="002B12E4"/>
    <w:rsid w:val="002B1427"/>
    <w:rsid w:val="002B2B5E"/>
    <w:rsid w:val="002B4F75"/>
    <w:rsid w:val="002B603C"/>
    <w:rsid w:val="002B6224"/>
    <w:rsid w:val="002B7874"/>
    <w:rsid w:val="002C00D2"/>
    <w:rsid w:val="002C090A"/>
    <w:rsid w:val="002C0946"/>
    <w:rsid w:val="002C0A88"/>
    <w:rsid w:val="002C2C35"/>
    <w:rsid w:val="002C2C46"/>
    <w:rsid w:val="002C3283"/>
    <w:rsid w:val="002C4844"/>
    <w:rsid w:val="002C512D"/>
    <w:rsid w:val="002C5783"/>
    <w:rsid w:val="002C6651"/>
    <w:rsid w:val="002C784F"/>
    <w:rsid w:val="002C7A58"/>
    <w:rsid w:val="002D0007"/>
    <w:rsid w:val="002D0170"/>
    <w:rsid w:val="002D28F2"/>
    <w:rsid w:val="002D2C46"/>
    <w:rsid w:val="002D3718"/>
    <w:rsid w:val="002D4110"/>
    <w:rsid w:val="002D44FD"/>
    <w:rsid w:val="002D4E66"/>
    <w:rsid w:val="002D6A88"/>
    <w:rsid w:val="002D6F7B"/>
    <w:rsid w:val="002E0DB1"/>
    <w:rsid w:val="002E1FEB"/>
    <w:rsid w:val="002E200C"/>
    <w:rsid w:val="002E2353"/>
    <w:rsid w:val="002E2C31"/>
    <w:rsid w:val="002E3303"/>
    <w:rsid w:val="002E427B"/>
    <w:rsid w:val="002E43E9"/>
    <w:rsid w:val="002E4846"/>
    <w:rsid w:val="002E4973"/>
    <w:rsid w:val="002E5495"/>
    <w:rsid w:val="002E5CE0"/>
    <w:rsid w:val="002E6218"/>
    <w:rsid w:val="002E7119"/>
    <w:rsid w:val="002E73BD"/>
    <w:rsid w:val="002F0017"/>
    <w:rsid w:val="002F07D5"/>
    <w:rsid w:val="002F193A"/>
    <w:rsid w:val="002F1C86"/>
    <w:rsid w:val="002F3641"/>
    <w:rsid w:val="002F37F5"/>
    <w:rsid w:val="002F3CFE"/>
    <w:rsid w:val="002F44F0"/>
    <w:rsid w:val="002F49DB"/>
    <w:rsid w:val="002F593C"/>
    <w:rsid w:val="002F5DD1"/>
    <w:rsid w:val="002F6635"/>
    <w:rsid w:val="002F6D13"/>
    <w:rsid w:val="002F6E4A"/>
    <w:rsid w:val="002F789C"/>
    <w:rsid w:val="00301217"/>
    <w:rsid w:val="00302001"/>
    <w:rsid w:val="0030228C"/>
    <w:rsid w:val="00302CC8"/>
    <w:rsid w:val="00302F69"/>
    <w:rsid w:val="00304752"/>
    <w:rsid w:val="00304B08"/>
    <w:rsid w:val="00305CAD"/>
    <w:rsid w:val="00306307"/>
    <w:rsid w:val="003067C6"/>
    <w:rsid w:val="003100CA"/>
    <w:rsid w:val="00310576"/>
    <w:rsid w:val="003105E9"/>
    <w:rsid w:val="00310654"/>
    <w:rsid w:val="00310E69"/>
    <w:rsid w:val="003110C0"/>
    <w:rsid w:val="00311325"/>
    <w:rsid w:val="00311BA6"/>
    <w:rsid w:val="00313001"/>
    <w:rsid w:val="00314AA8"/>
    <w:rsid w:val="00315E16"/>
    <w:rsid w:val="00315FED"/>
    <w:rsid w:val="003163AE"/>
    <w:rsid w:val="00320D32"/>
    <w:rsid w:val="0032109A"/>
    <w:rsid w:val="00321229"/>
    <w:rsid w:val="00321695"/>
    <w:rsid w:val="00322068"/>
    <w:rsid w:val="003224EF"/>
    <w:rsid w:val="003227F5"/>
    <w:rsid w:val="00322FCA"/>
    <w:rsid w:val="003247EA"/>
    <w:rsid w:val="003249DA"/>
    <w:rsid w:val="00326AE1"/>
    <w:rsid w:val="003278BD"/>
    <w:rsid w:val="00327BB9"/>
    <w:rsid w:val="00327C9C"/>
    <w:rsid w:val="00330684"/>
    <w:rsid w:val="00330BA3"/>
    <w:rsid w:val="00330D2B"/>
    <w:rsid w:val="00331EB3"/>
    <w:rsid w:val="003321E9"/>
    <w:rsid w:val="00332525"/>
    <w:rsid w:val="0033315A"/>
    <w:rsid w:val="00333752"/>
    <w:rsid w:val="003337E6"/>
    <w:rsid w:val="003338C6"/>
    <w:rsid w:val="00333B47"/>
    <w:rsid w:val="003354E2"/>
    <w:rsid w:val="003356F9"/>
    <w:rsid w:val="00335A66"/>
    <w:rsid w:val="00336751"/>
    <w:rsid w:val="00336822"/>
    <w:rsid w:val="00336E3D"/>
    <w:rsid w:val="00337F48"/>
    <w:rsid w:val="00340A59"/>
    <w:rsid w:val="00340AD4"/>
    <w:rsid w:val="0034333A"/>
    <w:rsid w:val="003433CB"/>
    <w:rsid w:val="0034427D"/>
    <w:rsid w:val="003443C8"/>
    <w:rsid w:val="00344A59"/>
    <w:rsid w:val="0034534F"/>
    <w:rsid w:val="00345680"/>
    <w:rsid w:val="003459D9"/>
    <w:rsid w:val="00346933"/>
    <w:rsid w:val="003471E4"/>
    <w:rsid w:val="003472ED"/>
    <w:rsid w:val="00347745"/>
    <w:rsid w:val="00347A56"/>
    <w:rsid w:val="00347F40"/>
    <w:rsid w:val="00351879"/>
    <w:rsid w:val="00351EC1"/>
    <w:rsid w:val="003525D4"/>
    <w:rsid w:val="0035271D"/>
    <w:rsid w:val="00352723"/>
    <w:rsid w:val="00353700"/>
    <w:rsid w:val="00353DF4"/>
    <w:rsid w:val="00354E68"/>
    <w:rsid w:val="00355B21"/>
    <w:rsid w:val="00355F1B"/>
    <w:rsid w:val="00356BEB"/>
    <w:rsid w:val="00357E30"/>
    <w:rsid w:val="00360355"/>
    <w:rsid w:val="00360C13"/>
    <w:rsid w:val="003619FB"/>
    <w:rsid w:val="00362791"/>
    <w:rsid w:val="00363E5B"/>
    <w:rsid w:val="00363F09"/>
    <w:rsid w:val="00365A00"/>
    <w:rsid w:val="00365A0D"/>
    <w:rsid w:val="00365A9E"/>
    <w:rsid w:val="003670CD"/>
    <w:rsid w:val="0036771F"/>
    <w:rsid w:val="0037086D"/>
    <w:rsid w:val="00370A52"/>
    <w:rsid w:val="00370D42"/>
    <w:rsid w:val="00371CCB"/>
    <w:rsid w:val="00372BE0"/>
    <w:rsid w:val="00372E5C"/>
    <w:rsid w:val="003732AB"/>
    <w:rsid w:val="00374848"/>
    <w:rsid w:val="0037550C"/>
    <w:rsid w:val="00376286"/>
    <w:rsid w:val="00376622"/>
    <w:rsid w:val="0037667D"/>
    <w:rsid w:val="00376929"/>
    <w:rsid w:val="00377E87"/>
    <w:rsid w:val="00377F94"/>
    <w:rsid w:val="00377F9E"/>
    <w:rsid w:val="00380197"/>
    <w:rsid w:val="00380652"/>
    <w:rsid w:val="00381423"/>
    <w:rsid w:val="0038147A"/>
    <w:rsid w:val="00381721"/>
    <w:rsid w:val="00382CC1"/>
    <w:rsid w:val="00383322"/>
    <w:rsid w:val="0038347E"/>
    <w:rsid w:val="00383E06"/>
    <w:rsid w:val="003849ED"/>
    <w:rsid w:val="003857FD"/>
    <w:rsid w:val="00385F02"/>
    <w:rsid w:val="003864EA"/>
    <w:rsid w:val="00386F9E"/>
    <w:rsid w:val="00387958"/>
    <w:rsid w:val="00390428"/>
    <w:rsid w:val="003906BB"/>
    <w:rsid w:val="00391A30"/>
    <w:rsid w:val="00391A34"/>
    <w:rsid w:val="00392BF9"/>
    <w:rsid w:val="0039326F"/>
    <w:rsid w:val="003952AC"/>
    <w:rsid w:val="003953B7"/>
    <w:rsid w:val="00395C9F"/>
    <w:rsid w:val="0039737D"/>
    <w:rsid w:val="003A077C"/>
    <w:rsid w:val="003A0FA9"/>
    <w:rsid w:val="003A11F6"/>
    <w:rsid w:val="003A13BC"/>
    <w:rsid w:val="003A36C8"/>
    <w:rsid w:val="003A4A2B"/>
    <w:rsid w:val="003A567E"/>
    <w:rsid w:val="003A68EA"/>
    <w:rsid w:val="003A6A55"/>
    <w:rsid w:val="003A6D83"/>
    <w:rsid w:val="003A7DB0"/>
    <w:rsid w:val="003B2513"/>
    <w:rsid w:val="003B2AAF"/>
    <w:rsid w:val="003B3184"/>
    <w:rsid w:val="003B4102"/>
    <w:rsid w:val="003B52FD"/>
    <w:rsid w:val="003B536F"/>
    <w:rsid w:val="003B5F6C"/>
    <w:rsid w:val="003B61EC"/>
    <w:rsid w:val="003B67FB"/>
    <w:rsid w:val="003B7CF8"/>
    <w:rsid w:val="003C0701"/>
    <w:rsid w:val="003C086A"/>
    <w:rsid w:val="003C3F89"/>
    <w:rsid w:val="003C40E2"/>
    <w:rsid w:val="003C4547"/>
    <w:rsid w:val="003C6026"/>
    <w:rsid w:val="003C6871"/>
    <w:rsid w:val="003C78EF"/>
    <w:rsid w:val="003D005F"/>
    <w:rsid w:val="003D2787"/>
    <w:rsid w:val="003D40A0"/>
    <w:rsid w:val="003D462A"/>
    <w:rsid w:val="003D4C60"/>
    <w:rsid w:val="003D527E"/>
    <w:rsid w:val="003D556F"/>
    <w:rsid w:val="003D5EE7"/>
    <w:rsid w:val="003D67D9"/>
    <w:rsid w:val="003D7B56"/>
    <w:rsid w:val="003D7EAA"/>
    <w:rsid w:val="003E0E08"/>
    <w:rsid w:val="003E373A"/>
    <w:rsid w:val="003E4AE1"/>
    <w:rsid w:val="003E54A7"/>
    <w:rsid w:val="003E5A72"/>
    <w:rsid w:val="003E6077"/>
    <w:rsid w:val="003E618F"/>
    <w:rsid w:val="003E6AD5"/>
    <w:rsid w:val="003E748F"/>
    <w:rsid w:val="003F0CE6"/>
    <w:rsid w:val="003F3EAF"/>
    <w:rsid w:val="003F3FFB"/>
    <w:rsid w:val="003F42B6"/>
    <w:rsid w:val="003F432F"/>
    <w:rsid w:val="003F4D99"/>
    <w:rsid w:val="003F4E7B"/>
    <w:rsid w:val="003F4F28"/>
    <w:rsid w:val="003F50F4"/>
    <w:rsid w:val="003F5B80"/>
    <w:rsid w:val="003F5C79"/>
    <w:rsid w:val="003F5E09"/>
    <w:rsid w:val="003F6876"/>
    <w:rsid w:val="003F7577"/>
    <w:rsid w:val="003F76BB"/>
    <w:rsid w:val="003F7D39"/>
    <w:rsid w:val="00400340"/>
    <w:rsid w:val="00400479"/>
    <w:rsid w:val="00401510"/>
    <w:rsid w:val="00401582"/>
    <w:rsid w:val="0040282E"/>
    <w:rsid w:val="00402868"/>
    <w:rsid w:val="004029D2"/>
    <w:rsid w:val="00402B27"/>
    <w:rsid w:val="00403F92"/>
    <w:rsid w:val="00404067"/>
    <w:rsid w:val="004041F4"/>
    <w:rsid w:val="004044F2"/>
    <w:rsid w:val="00404C6C"/>
    <w:rsid w:val="00404CDC"/>
    <w:rsid w:val="00405859"/>
    <w:rsid w:val="004058DB"/>
    <w:rsid w:val="00406138"/>
    <w:rsid w:val="00406874"/>
    <w:rsid w:val="00406C5B"/>
    <w:rsid w:val="004071B4"/>
    <w:rsid w:val="004076A9"/>
    <w:rsid w:val="00410F91"/>
    <w:rsid w:val="00411238"/>
    <w:rsid w:val="00412F93"/>
    <w:rsid w:val="00413A24"/>
    <w:rsid w:val="00414D40"/>
    <w:rsid w:val="00414E11"/>
    <w:rsid w:val="00415D61"/>
    <w:rsid w:val="004167A0"/>
    <w:rsid w:val="00416E5B"/>
    <w:rsid w:val="00417565"/>
    <w:rsid w:val="00417D82"/>
    <w:rsid w:val="00420960"/>
    <w:rsid w:val="00421C83"/>
    <w:rsid w:val="004220F1"/>
    <w:rsid w:val="00422527"/>
    <w:rsid w:val="004236CF"/>
    <w:rsid w:val="0042376A"/>
    <w:rsid w:val="00423D9C"/>
    <w:rsid w:val="00426DDC"/>
    <w:rsid w:val="004279EB"/>
    <w:rsid w:val="00430358"/>
    <w:rsid w:val="004303EE"/>
    <w:rsid w:val="00433611"/>
    <w:rsid w:val="00433CAF"/>
    <w:rsid w:val="00434343"/>
    <w:rsid w:val="00434935"/>
    <w:rsid w:val="00434A37"/>
    <w:rsid w:val="0043663B"/>
    <w:rsid w:val="00436D02"/>
    <w:rsid w:val="0043710E"/>
    <w:rsid w:val="00440C0E"/>
    <w:rsid w:val="00440ECA"/>
    <w:rsid w:val="00440FE9"/>
    <w:rsid w:val="00442369"/>
    <w:rsid w:val="00442FF2"/>
    <w:rsid w:val="00443237"/>
    <w:rsid w:val="00444248"/>
    <w:rsid w:val="0044432B"/>
    <w:rsid w:val="00444477"/>
    <w:rsid w:val="00444889"/>
    <w:rsid w:val="004449F8"/>
    <w:rsid w:val="00444D58"/>
    <w:rsid w:val="004453E9"/>
    <w:rsid w:val="00445A99"/>
    <w:rsid w:val="00445E07"/>
    <w:rsid w:val="00445E20"/>
    <w:rsid w:val="00445E23"/>
    <w:rsid w:val="00446823"/>
    <w:rsid w:val="00446DC9"/>
    <w:rsid w:val="004473AF"/>
    <w:rsid w:val="00450538"/>
    <w:rsid w:val="004511B4"/>
    <w:rsid w:val="00451348"/>
    <w:rsid w:val="004517E1"/>
    <w:rsid w:val="00452A07"/>
    <w:rsid w:val="00452EFB"/>
    <w:rsid w:val="00453C50"/>
    <w:rsid w:val="00453F48"/>
    <w:rsid w:val="00454493"/>
    <w:rsid w:val="0045479D"/>
    <w:rsid w:val="004557BD"/>
    <w:rsid w:val="004561D0"/>
    <w:rsid w:val="00456308"/>
    <w:rsid w:val="004570D8"/>
    <w:rsid w:val="00457CB0"/>
    <w:rsid w:val="00460557"/>
    <w:rsid w:val="00461716"/>
    <w:rsid w:val="00461E54"/>
    <w:rsid w:val="00463309"/>
    <w:rsid w:val="004633CE"/>
    <w:rsid w:val="004635CA"/>
    <w:rsid w:val="00463670"/>
    <w:rsid w:val="00463CB9"/>
    <w:rsid w:val="00463DA0"/>
    <w:rsid w:val="00465A0D"/>
    <w:rsid w:val="00465EAC"/>
    <w:rsid w:val="004660C9"/>
    <w:rsid w:val="0046748B"/>
    <w:rsid w:val="004707ED"/>
    <w:rsid w:val="00471395"/>
    <w:rsid w:val="00471A17"/>
    <w:rsid w:val="00472BCD"/>
    <w:rsid w:val="00473DB3"/>
    <w:rsid w:val="00474B27"/>
    <w:rsid w:val="00474FDB"/>
    <w:rsid w:val="00475DF8"/>
    <w:rsid w:val="00475FBC"/>
    <w:rsid w:val="004762C8"/>
    <w:rsid w:val="0047777D"/>
    <w:rsid w:val="004805A2"/>
    <w:rsid w:val="00480F31"/>
    <w:rsid w:val="00481373"/>
    <w:rsid w:val="00483776"/>
    <w:rsid w:val="00483E30"/>
    <w:rsid w:val="00484153"/>
    <w:rsid w:val="00484675"/>
    <w:rsid w:val="00487E57"/>
    <w:rsid w:val="00490D36"/>
    <w:rsid w:val="00490D37"/>
    <w:rsid w:val="00491478"/>
    <w:rsid w:val="00491742"/>
    <w:rsid w:val="00491942"/>
    <w:rsid w:val="0049377B"/>
    <w:rsid w:val="004939CD"/>
    <w:rsid w:val="00494709"/>
    <w:rsid w:val="004948C9"/>
    <w:rsid w:val="00494974"/>
    <w:rsid w:val="00495CE1"/>
    <w:rsid w:val="00496A47"/>
    <w:rsid w:val="0049748B"/>
    <w:rsid w:val="0049770A"/>
    <w:rsid w:val="0049791F"/>
    <w:rsid w:val="004979FF"/>
    <w:rsid w:val="00497FFD"/>
    <w:rsid w:val="004A0036"/>
    <w:rsid w:val="004A0EAC"/>
    <w:rsid w:val="004A12C3"/>
    <w:rsid w:val="004A1304"/>
    <w:rsid w:val="004A145B"/>
    <w:rsid w:val="004A2631"/>
    <w:rsid w:val="004A3131"/>
    <w:rsid w:val="004A39A6"/>
    <w:rsid w:val="004A3C27"/>
    <w:rsid w:val="004A4212"/>
    <w:rsid w:val="004A5DCE"/>
    <w:rsid w:val="004A5F2D"/>
    <w:rsid w:val="004A60C6"/>
    <w:rsid w:val="004A73D2"/>
    <w:rsid w:val="004B49E1"/>
    <w:rsid w:val="004B60C0"/>
    <w:rsid w:val="004B72AD"/>
    <w:rsid w:val="004B7FCF"/>
    <w:rsid w:val="004C07E1"/>
    <w:rsid w:val="004C0AE6"/>
    <w:rsid w:val="004C3097"/>
    <w:rsid w:val="004C30A9"/>
    <w:rsid w:val="004C30C5"/>
    <w:rsid w:val="004C3717"/>
    <w:rsid w:val="004C407F"/>
    <w:rsid w:val="004C4B25"/>
    <w:rsid w:val="004C5364"/>
    <w:rsid w:val="004C544B"/>
    <w:rsid w:val="004D00CB"/>
    <w:rsid w:val="004D0561"/>
    <w:rsid w:val="004D274A"/>
    <w:rsid w:val="004D3C7A"/>
    <w:rsid w:val="004D3C7C"/>
    <w:rsid w:val="004D4B5B"/>
    <w:rsid w:val="004D5223"/>
    <w:rsid w:val="004D5260"/>
    <w:rsid w:val="004D53F8"/>
    <w:rsid w:val="004D6F24"/>
    <w:rsid w:val="004D7475"/>
    <w:rsid w:val="004D7C9D"/>
    <w:rsid w:val="004E0140"/>
    <w:rsid w:val="004E023B"/>
    <w:rsid w:val="004E17E4"/>
    <w:rsid w:val="004E198D"/>
    <w:rsid w:val="004E2C40"/>
    <w:rsid w:val="004E489F"/>
    <w:rsid w:val="004E49CE"/>
    <w:rsid w:val="004E5181"/>
    <w:rsid w:val="004E660F"/>
    <w:rsid w:val="004E6A13"/>
    <w:rsid w:val="004E7E86"/>
    <w:rsid w:val="004F014E"/>
    <w:rsid w:val="004F0D37"/>
    <w:rsid w:val="004F1073"/>
    <w:rsid w:val="004F1763"/>
    <w:rsid w:val="004F17E1"/>
    <w:rsid w:val="004F1810"/>
    <w:rsid w:val="004F23F5"/>
    <w:rsid w:val="004F3121"/>
    <w:rsid w:val="004F3376"/>
    <w:rsid w:val="004F40EA"/>
    <w:rsid w:val="004F4D59"/>
    <w:rsid w:val="004F5348"/>
    <w:rsid w:val="004F5D3F"/>
    <w:rsid w:val="004F6E82"/>
    <w:rsid w:val="004F7C91"/>
    <w:rsid w:val="00500FD1"/>
    <w:rsid w:val="0050102F"/>
    <w:rsid w:val="00501429"/>
    <w:rsid w:val="0050161C"/>
    <w:rsid w:val="00502014"/>
    <w:rsid w:val="00502537"/>
    <w:rsid w:val="00503492"/>
    <w:rsid w:val="00503A4F"/>
    <w:rsid w:val="00503F9E"/>
    <w:rsid w:val="005048A9"/>
    <w:rsid w:val="005052AD"/>
    <w:rsid w:val="00505B20"/>
    <w:rsid w:val="00506023"/>
    <w:rsid w:val="005065A0"/>
    <w:rsid w:val="00507817"/>
    <w:rsid w:val="00507AEB"/>
    <w:rsid w:val="00507F63"/>
    <w:rsid w:val="00510E06"/>
    <w:rsid w:val="00511AAA"/>
    <w:rsid w:val="00511CE5"/>
    <w:rsid w:val="00512790"/>
    <w:rsid w:val="00513609"/>
    <w:rsid w:val="00513B8B"/>
    <w:rsid w:val="00514144"/>
    <w:rsid w:val="00514292"/>
    <w:rsid w:val="0051608C"/>
    <w:rsid w:val="00516221"/>
    <w:rsid w:val="00516715"/>
    <w:rsid w:val="00516F84"/>
    <w:rsid w:val="00517FF6"/>
    <w:rsid w:val="005205E7"/>
    <w:rsid w:val="00520AFC"/>
    <w:rsid w:val="00521279"/>
    <w:rsid w:val="0052157B"/>
    <w:rsid w:val="00522165"/>
    <w:rsid w:val="0052259B"/>
    <w:rsid w:val="00522F27"/>
    <w:rsid w:val="00522F5F"/>
    <w:rsid w:val="0052304C"/>
    <w:rsid w:val="00524D56"/>
    <w:rsid w:val="005252A3"/>
    <w:rsid w:val="005252D8"/>
    <w:rsid w:val="005256EC"/>
    <w:rsid w:val="00525992"/>
    <w:rsid w:val="00525FA2"/>
    <w:rsid w:val="0053032B"/>
    <w:rsid w:val="00530ECC"/>
    <w:rsid w:val="00530F06"/>
    <w:rsid w:val="0053144E"/>
    <w:rsid w:val="00531CDD"/>
    <w:rsid w:val="00531E7F"/>
    <w:rsid w:val="005324D4"/>
    <w:rsid w:val="00532872"/>
    <w:rsid w:val="00532894"/>
    <w:rsid w:val="00532A25"/>
    <w:rsid w:val="00532B64"/>
    <w:rsid w:val="00532F93"/>
    <w:rsid w:val="00532FAD"/>
    <w:rsid w:val="00532FD2"/>
    <w:rsid w:val="00534ED0"/>
    <w:rsid w:val="005354A2"/>
    <w:rsid w:val="00535760"/>
    <w:rsid w:val="0053697E"/>
    <w:rsid w:val="0053712C"/>
    <w:rsid w:val="00537C6A"/>
    <w:rsid w:val="00537F70"/>
    <w:rsid w:val="0054084A"/>
    <w:rsid w:val="005408A2"/>
    <w:rsid w:val="005409FB"/>
    <w:rsid w:val="005410DB"/>
    <w:rsid w:val="00541262"/>
    <w:rsid w:val="005416B7"/>
    <w:rsid w:val="00541B98"/>
    <w:rsid w:val="0054286A"/>
    <w:rsid w:val="00543762"/>
    <w:rsid w:val="00543842"/>
    <w:rsid w:val="00544646"/>
    <w:rsid w:val="00544702"/>
    <w:rsid w:val="0054578E"/>
    <w:rsid w:val="00545898"/>
    <w:rsid w:val="00546061"/>
    <w:rsid w:val="005478ED"/>
    <w:rsid w:val="00547CCD"/>
    <w:rsid w:val="00550BDA"/>
    <w:rsid w:val="00550D54"/>
    <w:rsid w:val="00550F66"/>
    <w:rsid w:val="00551787"/>
    <w:rsid w:val="00552DBF"/>
    <w:rsid w:val="0055303B"/>
    <w:rsid w:val="0055352E"/>
    <w:rsid w:val="005538FE"/>
    <w:rsid w:val="00554CC0"/>
    <w:rsid w:val="00554E21"/>
    <w:rsid w:val="00554E26"/>
    <w:rsid w:val="00555D08"/>
    <w:rsid w:val="005564D6"/>
    <w:rsid w:val="0055653F"/>
    <w:rsid w:val="00557C8C"/>
    <w:rsid w:val="00562FDE"/>
    <w:rsid w:val="00564182"/>
    <w:rsid w:val="00564A1D"/>
    <w:rsid w:val="00565663"/>
    <w:rsid w:val="00565677"/>
    <w:rsid w:val="00566EFC"/>
    <w:rsid w:val="005711AE"/>
    <w:rsid w:val="005718B5"/>
    <w:rsid w:val="0057313F"/>
    <w:rsid w:val="0057337E"/>
    <w:rsid w:val="00573EF6"/>
    <w:rsid w:val="00574979"/>
    <w:rsid w:val="005774F9"/>
    <w:rsid w:val="00577944"/>
    <w:rsid w:val="00577B3B"/>
    <w:rsid w:val="005803AA"/>
    <w:rsid w:val="005808A0"/>
    <w:rsid w:val="00580BAD"/>
    <w:rsid w:val="00582048"/>
    <w:rsid w:val="00582755"/>
    <w:rsid w:val="005827D3"/>
    <w:rsid w:val="00582E54"/>
    <w:rsid w:val="00583167"/>
    <w:rsid w:val="005849A3"/>
    <w:rsid w:val="00584C97"/>
    <w:rsid w:val="00586B6C"/>
    <w:rsid w:val="00590C9A"/>
    <w:rsid w:val="00591ED8"/>
    <w:rsid w:val="0059276D"/>
    <w:rsid w:val="00592F7F"/>
    <w:rsid w:val="00592FB4"/>
    <w:rsid w:val="005930C6"/>
    <w:rsid w:val="00593E74"/>
    <w:rsid w:val="0059510C"/>
    <w:rsid w:val="0059547F"/>
    <w:rsid w:val="00595914"/>
    <w:rsid w:val="00595E48"/>
    <w:rsid w:val="005962CD"/>
    <w:rsid w:val="00596C28"/>
    <w:rsid w:val="005A0D4B"/>
    <w:rsid w:val="005A0F1C"/>
    <w:rsid w:val="005A159C"/>
    <w:rsid w:val="005A16D8"/>
    <w:rsid w:val="005A3827"/>
    <w:rsid w:val="005A41FF"/>
    <w:rsid w:val="005A562A"/>
    <w:rsid w:val="005A5E66"/>
    <w:rsid w:val="005A7448"/>
    <w:rsid w:val="005B186C"/>
    <w:rsid w:val="005B1B35"/>
    <w:rsid w:val="005B2575"/>
    <w:rsid w:val="005B2A38"/>
    <w:rsid w:val="005B2EB2"/>
    <w:rsid w:val="005B2F08"/>
    <w:rsid w:val="005B317E"/>
    <w:rsid w:val="005B4105"/>
    <w:rsid w:val="005B4B03"/>
    <w:rsid w:val="005B4E09"/>
    <w:rsid w:val="005B6CFD"/>
    <w:rsid w:val="005B7541"/>
    <w:rsid w:val="005B7D85"/>
    <w:rsid w:val="005C0E03"/>
    <w:rsid w:val="005C0E8B"/>
    <w:rsid w:val="005C28BE"/>
    <w:rsid w:val="005C31ED"/>
    <w:rsid w:val="005C3949"/>
    <w:rsid w:val="005C3FFE"/>
    <w:rsid w:val="005C4166"/>
    <w:rsid w:val="005C4F4F"/>
    <w:rsid w:val="005C5568"/>
    <w:rsid w:val="005C6CD2"/>
    <w:rsid w:val="005C6D54"/>
    <w:rsid w:val="005C7774"/>
    <w:rsid w:val="005C777D"/>
    <w:rsid w:val="005C7B87"/>
    <w:rsid w:val="005D1EC9"/>
    <w:rsid w:val="005D2612"/>
    <w:rsid w:val="005D30E2"/>
    <w:rsid w:val="005D3140"/>
    <w:rsid w:val="005D428D"/>
    <w:rsid w:val="005D46F9"/>
    <w:rsid w:val="005D516D"/>
    <w:rsid w:val="005D5626"/>
    <w:rsid w:val="005D5758"/>
    <w:rsid w:val="005D5BC5"/>
    <w:rsid w:val="005D60A5"/>
    <w:rsid w:val="005D6F84"/>
    <w:rsid w:val="005D78C0"/>
    <w:rsid w:val="005E0CB4"/>
    <w:rsid w:val="005E1A45"/>
    <w:rsid w:val="005E2656"/>
    <w:rsid w:val="005E2C6A"/>
    <w:rsid w:val="005E2FF1"/>
    <w:rsid w:val="005E38C1"/>
    <w:rsid w:val="005E4043"/>
    <w:rsid w:val="005E4DE7"/>
    <w:rsid w:val="005E5A2C"/>
    <w:rsid w:val="005E5D5B"/>
    <w:rsid w:val="005E5E61"/>
    <w:rsid w:val="005E6826"/>
    <w:rsid w:val="005E746A"/>
    <w:rsid w:val="005F09C1"/>
    <w:rsid w:val="005F13A9"/>
    <w:rsid w:val="005F1AE3"/>
    <w:rsid w:val="005F2E16"/>
    <w:rsid w:val="005F2F41"/>
    <w:rsid w:val="005F3107"/>
    <w:rsid w:val="005F33FE"/>
    <w:rsid w:val="005F3A7D"/>
    <w:rsid w:val="005F4345"/>
    <w:rsid w:val="005F5846"/>
    <w:rsid w:val="005F608F"/>
    <w:rsid w:val="005F638B"/>
    <w:rsid w:val="005F68BB"/>
    <w:rsid w:val="005F70E2"/>
    <w:rsid w:val="005F7623"/>
    <w:rsid w:val="005F7653"/>
    <w:rsid w:val="006004A4"/>
    <w:rsid w:val="00601056"/>
    <w:rsid w:val="006010BB"/>
    <w:rsid w:val="00601217"/>
    <w:rsid w:val="006012A6"/>
    <w:rsid w:val="00602807"/>
    <w:rsid w:val="00603658"/>
    <w:rsid w:val="00603C5D"/>
    <w:rsid w:val="00604111"/>
    <w:rsid w:val="0060488B"/>
    <w:rsid w:val="006048E0"/>
    <w:rsid w:val="00604950"/>
    <w:rsid w:val="00605A5F"/>
    <w:rsid w:val="00605DEE"/>
    <w:rsid w:val="006079C7"/>
    <w:rsid w:val="00607E67"/>
    <w:rsid w:val="00607F0F"/>
    <w:rsid w:val="00610445"/>
    <w:rsid w:val="00610610"/>
    <w:rsid w:val="0061157A"/>
    <w:rsid w:val="00611652"/>
    <w:rsid w:val="00611F51"/>
    <w:rsid w:val="006131C6"/>
    <w:rsid w:val="00615F67"/>
    <w:rsid w:val="0061793D"/>
    <w:rsid w:val="00617C6F"/>
    <w:rsid w:val="00617CF4"/>
    <w:rsid w:val="00620791"/>
    <w:rsid w:val="006210D0"/>
    <w:rsid w:val="00621FA9"/>
    <w:rsid w:val="00622E8B"/>
    <w:rsid w:val="00623355"/>
    <w:rsid w:val="006242FC"/>
    <w:rsid w:val="00625EA1"/>
    <w:rsid w:val="00626990"/>
    <w:rsid w:val="00627774"/>
    <w:rsid w:val="0063176C"/>
    <w:rsid w:val="006318A9"/>
    <w:rsid w:val="00631AD3"/>
    <w:rsid w:val="00632A1D"/>
    <w:rsid w:val="006340EF"/>
    <w:rsid w:val="006362F3"/>
    <w:rsid w:val="00636F3A"/>
    <w:rsid w:val="006378AA"/>
    <w:rsid w:val="006407D2"/>
    <w:rsid w:val="006409CA"/>
    <w:rsid w:val="00641011"/>
    <w:rsid w:val="006428C8"/>
    <w:rsid w:val="006434C4"/>
    <w:rsid w:val="0064626C"/>
    <w:rsid w:val="00646D2A"/>
    <w:rsid w:val="00647155"/>
    <w:rsid w:val="00647448"/>
    <w:rsid w:val="006474DE"/>
    <w:rsid w:val="00650593"/>
    <w:rsid w:val="00651DF3"/>
    <w:rsid w:val="00652557"/>
    <w:rsid w:val="006528C3"/>
    <w:rsid w:val="006528DB"/>
    <w:rsid w:val="00652E1D"/>
    <w:rsid w:val="0065352E"/>
    <w:rsid w:val="00655172"/>
    <w:rsid w:val="00655618"/>
    <w:rsid w:val="00656297"/>
    <w:rsid w:val="00656364"/>
    <w:rsid w:val="00656452"/>
    <w:rsid w:val="00656F37"/>
    <w:rsid w:val="00657102"/>
    <w:rsid w:val="006571DD"/>
    <w:rsid w:val="0066059B"/>
    <w:rsid w:val="0066083E"/>
    <w:rsid w:val="006613B5"/>
    <w:rsid w:val="006619C1"/>
    <w:rsid w:val="0066288B"/>
    <w:rsid w:val="00662AD8"/>
    <w:rsid w:val="006644FD"/>
    <w:rsid w:val="00664CDE"/>
    <w:rsid w:val="006657A2"/>
    <w:rsid w:val="00665E84"/>
    <w:rsid w:val="0067079D"/>
    <w:rsid w:val="006710FD"/>
    <w:rsid w:val="0067113F"/>
    <w:rsid w:val="006712F4"/>
    <w:rsid w:val="006713BD"/>
    <w:rsid w:val="006718B6"/>
    <w:rsid w:val="00671DED"/>
    <w:rsid w:val="00672FA8"/>
    <w:rsid w:val="006759D7"/>
    <w:rsid w:val="00681403"/>
    <w:rsid w:val="00681518"/>
    <w:rsid w:val="00681573"/>
    <w:rsid w:val="00681B5F"/>
    <w:rsid w:val="00681D57"/>
    <w:rsid w:val="00681EB9"/>
    <w:rsid w:val="0068211B"/>
    <w:rsid w:val="00682752"/>
    <w:rsid w:val="00682A00"/>
    <w:rsid w:val="00682F70"/>
    <w:rsid w:val="006833AA"/>
    <w:rsid w:val="006840E8"/>
    <w:rsid w:val="00684EA1"/>
    <w:rsid w:val="006855D8"/>
    <w:rsid w:val="006859C8"/>
    <w:rsid w:val="00686331"/>
    <w:rsid w:val="00686C92"/>
    <w:rsid w:val="00690679"/>
    <w:rsid w:val="00690BF0"/>
    <w:rsid w:val="006940C8"/>
    <w:rsid w:val="00694294"/>
    <w:rsid w:val="00694747"/>
    <w:rsid w:val="00697161"/>
    <w:rsid w:val="006978E0"/>
    <w:rsid w:val="006A0312"/>
    <w:rsid w:val="006A037B"/>
    <w:rsid w:val="006A04E7"/>
    <w:rsid w:val="006A16FC"/>
    <w:rsid w:val="006A1C9B"/>
    <w:rsid w:val="006A21A7"/>
    <w:rsid w:val="006A2D14"/>
    <w:rsid w:val="006A33A7"/>
    <w:rsid w:val="006A3862"/>
    <w:rsid w:val="006A470D"/>
    <w:rsid w:val="006A4DD0"/>
    <w:rsid w:val="006A4FF7"/>
    <w:rsid w:val="006A54F0"/>
    <w:rsid w:val="006A56F7"/>
    <w:rsid w:val="006A5A64"/>
    <w:rsid w:val="006A5AB8"/>
    <w:rsid w:val="006A6B77"/>
    <w:rsid w:val="006A757F"/>
    <w:rsid w:val="006A7F27"/>
    <w:rsid w:val="006B05C0"/>
    <w:rsid w:val="006B196A"/>
    <w:rsid w:val="006B1D57"/>
    <w:rsid w:val="006B2A24"/>
    <w:rsid w:val="006B2EF5"/>
    <w:rsid w:val="006B3372"/>
    <w:rsid w:val="006B3457"/>
    <w:rsid w:val="006B3784"/>
    <w:rsid w:val="006B39CD"/>
    <w:rsid w:val="006B585D"/>
    <w:rsid w:val="006B5B32"/>
    <w:rsid w:val="006B6086"/>
    <w:rsid w:val="006B64F3"/>
    <w:rsid w:val="006B78BB"/>
    <w:rsid w:val="006C02E9"/>
    <w:rsid w:val="006C0412"/>
    <w:rsid w:val="006C0A36"/>
    <w:rsid w:val="006C13A8"/>
    <w:rsid w:val="006C1739"/>
    <w:rsid w:val="006C24DC"/>
    <w:rsid w:val="006C2769"/>
    <w:rsid w:val="006C34A3"/>
    <w:rsid w:val="006C42F4"/>
    <w:rsid w:val="006C4DA3"/>
    <w:rsid w:val="006C6761"/>
    <w:rsid w:val="006C68D1"/>
    <w:rsid w:val="006C7D1D"/>
    <w:rsid w:val="006D3382"/>
    <w:rsid w:val="006D3535"/>
    <w:rsid w:val="006D386B"/>
    <w:rsid w:val="006D3BF8"/>
    <w:rsid w:val="006D3ECF"/>
    <w:rsid w:val="006D444C"/>
    <w:rsid w:val="006D462D"/>
    <w:rsid w:val="006D673D"/>
    <w:rsid w:val="006D6E64"/>
    <w:rsid w:val="006D726C"/>
    <w:rsid w:val="006D78B4"/>
    <w:rsid w:val="006D7F43"/>
    <w:rsid w:val="006E0847"/>
    <w:rsid w:val="006E1C91"/>
    <w:rsid w:val="006E27E0"/>
    <w:rsid w:val="006E4224"/>
    <w:rsid w:val="006E5E72"/>
    <w:rsid w:val="006E737E"/>
    <w:rsid w:val="006E795A"/>
    <w:rsid w:val="006E7AB5"/>
    <w:rsid w:val="006F0966"/>
    <w:rsid w:val="006F1F48"/>
    <w:rsid w:val="006F2443"/>
    <w:rsid w:val="006F2A9F"/>
    <w:rsid w:val="006F33DF"/>
    <w:rsid w:val="006F414E"/>
    <w:rsid w:val="006F4B1C"/>
    <w:rsid w:val="006F51B3"/>
    <w:rsid w:val="006F6557"/>
    <w:rsid w:val="006F71A3"/>
    <w:rsid w:val="006F71D8"/>
    <w:rsid w:val="006F7FBC"/>
    <w:rsid w:val="00700027"/>
    <w:rsid w:val="00700B3E"/>
    <w:rsid w:val="00700C7B"/>
    <w:rsid w:val="007010B6"/>
    <w:rsid w:val="00702D74"/>
    <w:rsid w:val="00702E80"/>
    <w:rsid w:val="00702ECE"/>
    <w:rsid w:val="0070308C"/>
    <w:rsid w:val="00703AF6"/>
    <w:rsid w:val="00703C25"/>
    <w:rsid w:val="00703ECB"/>
    <w:rsid w:val="00704207"/>
    <w:rsid w:val="0070525E"/>
    <w:rsid w:val="00705800"/>
    <w:rsid w:val="0070663D"/>
    <w:rsid w:val="007067BE"/>
    <w:rsid w:val="00707614"/>
    <w:rsid w:val="00707940"/>
    <w:rsid w:val="00707B1D"/>
    <w:rsid w:val="00707FA7"/>
    <w:rsid w:val="00710437"/>
    <w:rsid w:val="00710860"/>
    <w:rsid w:val="00710B15"/>
    <w:rsid w:val="00710B1C"/>
    <w:rsid w:val="00710C7C"/>
    <w:rsid w:val="00710F5C"/>
    <w:rsid w:val="0071284C"/>
    <w:rsid w:val="00713C13"/>
    <w:rsid w:val="00714075"/>
    <w:rsid w:val="00715692"/>
    <w:rsid w:val="007157BF"/>
    <w:rsid w:val="00716978"/>
    <w:rsid w:val="0071706E"/>
    <w:rsid w:val="00721C1B"/>
    <w:rsid w:val="007222E0"/>
    <w:rsid w:val="0072236B"/>
    <w:rsid w:val="00724615"/>
    <w:rsid w:val="0072582F"/>
    <w:rsid w:val="00725B3F"/>
    <w:rsid w:val="00727B3A"/>
    <w:rsid w:val="00730750"/>
    <w:rsid w:val="00730B73"/>
    <w:rsid w:val="007311E2"/>
    <w:rsid w:val="007322B7"/>
    <w:rsid w:val="007335EB"/>
    <w:rsid w:val="007346C2"/>
    <w:rsid w:val="00734FB6"/>
    <w:rsid w:val="007355FC"/>
    <w:rsid w:val="007361D1"/>
    <w:rsid w:val="00736227"/>
    <w:rsid w:val="007367F3"/>
    <w:rsid w:val="007372F6"/>
    <w:rsid w:val="00737823"/>
    <w:rsid w:val="00740067"/>
    <w:rsid w:val="007411D9"/>
    <w:rsid w:val="00742301"/>
    <w:rsid w:val="00743922"/>
    <w:rsid w:val="00744F5B"/>
    <w:rsid w:val="00750093"/>
    <w:rsid w:val="0075110B"/>
    <w:rsid w:val="007511EF"/>
    <w:rsid w:val="007513D5"/>
    <w:rsid w:val="00751F0C"/>
    <w:rsid w:val="0075214B"/>
    <w:rsid w:val="00754BBC"/>
    <w:rsid w:val="00755935"/>
    <w:rsid w:val="00756483"/>
    <w:rsid w:val="00756F19"/>
    <w:rsid w:val="00757456"/>
    <w:rsid w:val="007605A1"/>
    <w:rsid w:val="0076094B"/>
    <w:rsid w:val="0076163D"/>
    <w:rsid w:val="0076249E"/>
    <w:rsid w:val="0076397D"/>
    <w:rsid w:val="00763984"/>
    <w:rsid w:val="0076472E"/>
    <w:rsid w:val="00765DC1"/>
    <w:rsid w:val="00766071"/>
    <w:rsid w:val="00767599"/>
    <w:rsid w:val="0076786C"/>
    <w:rsid w:val="00771379"/>
    <w:rsid w:val="0077158B"/>
    <w:rsid w:val="00771C80"/>
    <w:rsid w:val="00771DF1"/>
    <w:rsid w:val="00772B72"/>
    <w:rsid w:val="00774631"/>
    <w:rsid w:val="00774646"/>
    <w:rsid w:val="00775597"/>
    <w:rsid w:val="00775803"/>
    <w:rsid w:val="0077674C"/>
    <w:rsid w:val="00777B58"/>
    <w:rsid w:val="00777CF0"/>
    <w:rsid w:val="00777E3A"/>
    <w:rsid w:val="00780E1F"/>
    <w:rsid w:val="007816E7"/>
    <w:rsid w:val="00781823"/>
    <w:rsid w:val="00782418"/>
    <w:rsid w:val="00783562"/>
    <w:rsid w:val="00783C88"/>
    <w:rsid w:val="0078405D"/>
    <w:rsid w:val="007845EF"/>
    <w:rsid w:val="0078481C"/>
    <w:rsid w:val="00784B89"/>
    <w:rsid w:val="00785199"/>
    <w:rsid w:val="007857B7"/>
    <w:rsid w:val="00785891"/>
    <w:rsid w:val="00785AF0"/>
    <w:rsid w:val="00785EDA"/>
    <w:rsid w:val="007874E4"/>
    <w:rsid w:val="0078793E"/>
    <w:rsid w:val="00790C27"/>
    <w:rsid w:val="007921A6"/>
    <w:rsid w:val="007950C9"/>
    <w:rsid w:val="00797F53"/>
    <w:rsid w:val="00797F60"/>
    <w:rsid w:val="007A0633"/>
    <w:rsid w:val="007A1888"/>
    <w:rsid w:val="007A34D6"/>
    <w:rsid w:val="007A379A"/>
    <w:rsid w:val="007A390F"/>
    <w:rsid w:val="007A4D56"/>
    <w:rsid w:val="007A5BFC"/>
    <w:rsid w:val="007A5C95"/>
    <w:rsid w:val="007A690B"/>
    <w:rsid w:val="007A7229"/>
    <w:rsid w:val="007A7558"/>
    <w:rsid w:val="007A7799"/>
    <w:rsid w:val="007A7E3A"/>
    <w:rsid w:val="007B1678"/>
    <w:rsid w:val="007B1C5D"/>
    <w:rsid w:val="007B20BC"/>
    <w:rsid w:val="007B31A9"/>
    <w:rsid w:val="007B3CAA"/>
    <w:rsid w:val="007B4415"/>
    <w:rsid w:val="007B4F6B"/>
    <w:rsid w:val="007B526B"/>
    <w:rsid w:val="007B5941"/>
    <w:rsid w:val="007B6365"/>
    <w:rsid w:val="007B64BC"/>
    <w:rsid w:val="007C127F"/>
    <w:rsid w:val="007C1322"/>
    <w:rsid w:val="007C1334"/>
    <w:rsid w:val="007C1F23"/>
    <w:rsid w:val="007C32C4"/>
    <w:rsid w:val="007C3321"/>
    <w:rsid w:val="007C41D8"/>
    <w:rsid w:val="007C48A2"/>
    <w:rsid w:val="007C4ABE"/>
    <w:rsid w:val="007C4F7E"/>
    <w:rsid w:val="007C5585"/>
    <w:rsid w:val="007C5E32"/>
    <w:rsid w:val="007D02DC"/>
    <w:rsid w:val="007D05F3"/>
    <w:rsid w:val="007D23D4"/>
    <w:rsid w:val="007D34E5"/>
    <w:rsid w:val="007D366B"/>
    <w:rsid w:val="007D43DE"/>
    <w:rsid w:val="007D58B4"/>
    <w:rsid w:val="007D60CC"/>
    <w:rsid w:val="007D76F8"/>
    <w:rsid w:val="007D7DD6"/>
    <w:rsid w:val="007D7E80"/>
    <w:rsid w:val="007E09E5"/>
    <w:rsid w:val="007E0C80"/>
    <w:rsid w:val="007E14AD"/>
    <w:rsid w:val="007E1777"/>
    <w:rsid w:val="007E1E7F"/>
    <w:rsid w:val="007E2F7A"/>
    <w:rsid w:val="007E3D22"/>
    <w:rsid w:val="007E3DDF"/>
    <w:rsid w:val="007E431C"/>
    <w:rsid w:val="007E57E4"/>
    <w:rsid w:val="007E59D8"/>
    <w:rsid w:val="007E6BD1"/>
    <w:rsid w:val="007E6EC6"/>
    <w:rsid w:val="007E75F9"/>
    <w:rsid w:val="007E77E0"/>
    <w:rsid w:val="007F180C"/>
    <w:rsid w:val="007F2C6B"/>
    <w:rsid w:val="007F2CF0"/>
    <w:rsid w:val="007F3137"/>
    <w:rsid w:val="007F39C9"/>
    <w:rsid w:val="007F3A3F"/>
    <w:rsid w:val="007F3B2C"/>
    <w:rsid w:val="007F3BDC"/>
    <w:rsid w:val="007F5335"/>
    <w:rsid w:val="007F5608"/>
    <w:rsid w:val="007F5AB3"/>
    <w:rsid w:val="007F65C0"/>
    <w:rsid w:val="007F668C"/>
    <w:rsid w:val="007F7A42"/>
    <w:rsid w:val="007F7E1A"/>
    <w:rsid w:val="00800092"/>
    <w:rsid w:val="00800AE9"/>
    <w:rsid w:val="00801EDD"/>
    <w:rsid w:val="008034A9"/>
    <w:rsid w:val="008038DE"/>
    <w:rsid w:val="00803C95"/>
    <w:rsid w:val="008040DB"/>
    <w:rsid w:val="00804285"/>
    <w:rsid w:val="00804D0F"/>
    <w:rsid w:val="0080547C"/>
    <w:rsid w:val="008071F1"/>
    <w:rsid w:val="008073D3"/>
    <w:rsid w:val="00807605"/>
    <w:rsid w:val="00810363"/>
    <w:rsid w:val="00811469"/>
    <w:rsid w:val="008125FE"/>
    <w:rsid w:val="0081368D"/>
    <w:rsid w:val="00813A60"/>
    <w:rsid w:val="00813BFB"/>
    <w:rsid w:val="00813ED8"/>
    <w:rsid w:val="00814DBB"/>
    <w:rsid w:val="0081776A"/>
    <w:rsid w:val="00817AE8"/>
    <w:rsid w:val="00817D92"/>
    <w:rsid w:val="0082051C"/>
    <w:rsid w:val="00821173"/>
    <w:rsid w:val="0082305E"/>
    <w:rsid w:val="00824EC3"/>
    <w:rsid w:val="008255F2"/>
    <w:rsid w:val="00825B6E"/>
    <w:rsid w:val="00825D1B"/>
    <w:rsid w:val="00826248"/>
    <w:rsid w:val="008267A6"/>
    <w:rsid w:val="0082695C"/>
    <w:rsid w:val="0082718F"/>
    <w:rsid w:val="00827C96"/>
    <w:rsid w:val="008302D6"/>
    <w:rsid w:val="00830DE8"/>
    <w:rsid w:val="0083331E"/>
    <w:rsid w:val="008334AB"/>
    <w:rsid w:val="00833BB5"/>
    <w:rsid w:val="00833EB6"/>
    <w:rsid w:val="00834272"/>
    <w:rsid w:val="00835118"/>
    <w:rsid w:val="0083522A"/>
    <w:rsid w:val="008356BC"/>
    <w:rsid w:val="0083710C"/>
    <w:rsid w:val="00837275"/>
    <w:rsid w:val="00837830"/>
    <w:rsid w:val="00840CCA"/>
    <w:rsid w:val="00841621"/>
    <w:rsid w:val="00841817"/>
    <w:rsid w:val="00842503"/>
    <w:rsid w:val="0084265A"/>
    <w:rsid w:val="00843BB1"/>
    <w:rsid w:val="0084418F"/>
    <w:rsid w:val="00844235"/>
    <w:rsid w:val="00844C0F"/>
    <w:rsid w:val="008457F7"/>
    <w:rsid w:val="00846088"/>
    <w:rsid w:val="008462FC"/>
    <w:rsid w:val="00847EEB"/>
    <w:rsid w:val="00850BE4"/>
    <w:rsid w:val="0085213F"/>
    <w:rsid w:val="008525FD"/>
    <w:rsid w:val="008544AC"/>
    <w:rsid w:val="008550BA"/>
    <w:rsid w:val="0085588A"/>
    <w:rsid w:val="00855B26"/>
    <w:rsid w:val="00856EE2"/>
    <w:rsid w:val="00860373"/>
    <w:rsid w:val="0086043E"/>
    <w:rsid w:val="008607AA"/>
    <w:rsid w:val="00860A0D"/>
    <w:rsid w:val="00862272"/>
    <w:rsid w:val="00862BCE"/>
    <w:rsid w:val="008633C0"/>
    <w:rsid w:val="00863EA8"/>
    <w:rsid w:val="008640F8"/>
    <w:rsid w:val="008641DB"/>
    <w:rsid w:val="00865BA5"/>
    <w:rsid w:val="00865C14"/>
    <w:rsid w:val="008665E0"/>
    <w:rsid w:val="008666F7"/>
    <w:rsid w:val="0086798D"/>
    <w:rsid w:val="00867BE7"/>
    <w:rsid w:val="00867C02"/>
    <w:rsid w:val="00867D64"/>
    <w:rsid w:val="00867F56"/>
    <w:rsid w:val="008704DC"/>
    <w:rsid w:val="00870603"/>
    <w:rsid w:val="0087209B"/>
    <w:rsid w:val="00872A7E"/>
    <w:rsid w:val="008751B8"/>
    <w:rsid w:val="008753CA"/>
    <w:rsid w:val="0087541F"/>
    <w:rsid w:val="008754F4"/>
    <w:rsid w:val="00875933"/>
    <w:rsid w:val="00875D3D"/>
    <w:rsid w:val="0087626B"/>
    <w:rsid w:val="00876FB4"/>
    <w:rsid w:val="008775E7"/>
    <w:rsid w:val="00877BB8"/>
    <w:rsid w:val="00877EB4"/>
    <w:rsid w:val="00880243"/>
    <w:rsid w:val="00880884"/>
    <w:rsid w:val="00880F6F"/>
    <w:rsid w:val="00881006"/>
    <w:rsid w:val="008814D3"/>
    <w:rsid w:val="00881955"/>
    <w:rsid w:val="00883168"/>
    <w:rsid w:val="00883BD7"/>
    <w:rsid w:val="0088478D"/>
    <w:rsid w:val="00884E53"/>
    <w:rsid w:val="00884EE0"/>
    <w:rsid w:val="008864C6"/>
    <w:rsid w:val="0088657D"/>
    <w:rsid w:val="00886AA6"/>
    <w:rsid w:val="00886D20"/>
    <w:rsid w:val="008872CE"/>
    <w:rsid w:val="00887CFE"/>
    <w:rsid w:val="008908EF"/>
    <w:rsid w:val="00891258"/>
    <w:rsid w:val="0089178E"/>
    <w:rsid w:val="008923F7"/>
    <w:rsid w:val="008927E1"/>
    <w:rsid w:val="008929F4"/>
    <w:rsid w:val="00892AAE"/>
    <w:rsid w:val="00892BE8"/>
    <w:rsid w:val="008930C6"/>
    <w:rsid w:val="008934C0"/>
    <w:rsid w:val="00894136"/>
    <w:rsid w:val="008962A4"/>
    <w:rsid w:val="00897829"/>
    <w:rsid w:val="00897A61"/>
    <w:rsid w:val="00897C74"/>
    <w:rsid w:val="00897E3B"/>
    <w:rsid w:val="00897F7A"/>
    <w:rsid w:val="008A045F"/>
    <w:rsid w:val="008A088B"/>
    <w:rsid w:val="008A3216"/>
    <w:rsid w:val="008A405F"/>
    <w:rsid w:val="008A5F28"/>
    <w:rsid w:val="008A5F9F"/>
    <w:rsid w:val="008A76ED"/>
    <w:rsid w:val="008B0134"/>
    <w:rsid w:val="008B04A0"/>
    <w:rsid w:val="008B18C3"/>
    <w:rsid w:val="008B1B8C"/>
    <w:rsid w:val="008B1BA0"/>
    <w:rsid w:val="008B5C63"/>
    <w:rsid w:val="008B64F1"/>
    <w:rsid w:val="008B7AAF"/>
    <w:rsid w:val="008C183A"/>
    <w:rsid w:val="008C1DDC"/>
    <w:rsid w:val="008C3410"/>
    <w:rsid w:val="008C3AB9"/>
    <w:rsid w:val="008C464A"/>
    <w:rsid w:val="008C4810"/>
    <w:rsid w:val="008C5590"/>
    <w:rsid w:val="008C62E9"/>
    <w:rsid w:val="008C6569"/>
    <w:rsid w:val="008C68FC"/>
    <w:rsid w:val="008C6CE3"/>
    <w:rsid w:val="008C7781"/>
    <w:rsid w:val="008C7B2D"/>
    <w:rsid w:val="008D0365"/>
    <w:rsid w:val="008D03C2"/>
    <w:rsid w:val="008D093A"/>
    <w:rsid w:val="008D104F"/>
    <w:rsid w:val="008D169A"/>
    <w:rsid w:val="008D1D12"/>
    <w:rsid w:val="008D2736"/>
    <w:rsid w:val="008D286B"/>
    <w:rsid w:val="008D2963"/>
    <w:rsid w:val="008D3564"/>
    <w:rsid w:val="008D3B5C"/>
    <w:rsid w:val="008D4448"/>
    <w:rsid w:val="008D4D0C"/>
    <w:rsid w:val="008D5528"/>
    <w:rsid w:val="008D7682"/>
    <w:rsid w:val="008D78E3"/>
    <w:rsid w:val="008E105B"/>
    <w:rsid w:val="008E2D31"/>
    <w:rsid w:val="008E2F3D"/>
    <w:rsid w:val="008E305E"/>
    <w:rsid w:val="008E33EE"/>
    <w:rsid w:val="008E41E7"/>
    <w:rsid w:val="008E4349"/>
    <w:rsid w:val="008E4586"/>
    <w:rsid w:val="008E680D"/>
    <w:rsid w:val="008E7510"/>
    <w:rsid w:val="008F0FCA"/>
    <w:rsid w:val="008F18C2"/>
    <w:rsid w:val="008F19E4"/>
    <w:rsid w:val="008F1B58"/>
    <w:rsid w:val="008F2017"/>
    <w:rsid w:val="008F28D7"/>
    <w:rsid w:val="008F4519"/>
    <w:rsid w:val="008F4A81"/>
    <w:rsid w:val="008F5197"/>
    <w:rsid w:val="008F694A"/>
    <w:rsid w:val="008F6E4E"/>
    <w:rsid w:val="008F7105"/>
    <w:rsid w:val="008F7AC2"/>
    <w:rsid w:val="009006DD"/>
    <w:rsid w:val="009009B7"/>
    <w:rsid w:val="00900C57"/>
    <w:rsid w:val="009027CE"/>
    <w:rsid w:val="00902BA6"/>
    <w:rsid w:val="0090581D"/>
    <w:rsid w:val="00905852"/>
    <w:rsid w:val="0090595D"/>
    <w:rsid w:val="00907E1E"/>
    <w:rsid w:val="009124AC"/>
    <w:rsid w:val="00912A56"/>
    <w:rsid w:val="00913980"/>
    <w:rsid w:val="00913ABA"/>
    <w:rsid w:val="00914C50"/>
    <w:rsid w:val="00915521"/>
    <w:rsid w:val="00915787"/>
    <w:rsid w:val="009207BD"/>
    <w:rsid w:val="00921878"/>
    <w:rsid w:val="00922A4A"/>
    <w:rsid w:val="00922B5C"/>
    <w:rsid w:val="0092397D"/>
    <w:rsid w:val="00923F2C"/>
    <w:rsid w:val="00924030"/>
    <w:rsid w:val="009242BE"/>
    <w:rsid w:val="00924782"/>
    <w:rsid w:val="0092558D"/>
    <w:rsid w:val="00925C12"/>
    <w:rsid w:val="009262AF"/>
    <w:rsid w:val="00926381"/>
    <w:rsid w:val="0092644C"/>
    <w:rsid w:val="00926A88"/>
    <w:rsid w:val="00926BD3"/>
    <w:rsid w:val="009278BC"/>
    <w:rsid w:val="0092790E"/>
    <w:rsid w:val="00927918"/>
    <w:rsid w:val="00927FDB"/>
    <w:rsid w:val="00931FA7"/>
    <w:rsid w:val="009326E7"/>
    <w:rsid w:val="00932CE2"/>
    <w:rsid w:val="00933131"/>
    <w:rsid w:val="009339F3"/>
    <w:rsid w:val="00934938"/>
    <w:rsid w:val="009351E8"/>
    <w:rsid w:val="00935252"/>
    <w:rsid w:val="009354D6"/>
    <w:rsid w:val="00935FD2"/>
    <w:rsid w:val="00936115"/>
    <w:rsid w:val="00937078"/>
    <w:rsid w:val="009371FE"/>
    <w:rsid w:val="0093731A"/>
    <w:rsid w:val="009374BF"/>
    <w:rsid w:val="00940F06"/>
    <w:rsid w:val="00941A0A"/>
    <w:rsid w:val="00941D62"/>
    <w:rsid w:val="00942DEC"/>
    <w:rsid w:val="00942FEA"/>
    <w:rsid w:val="0094324C"/>
    <w:rsid w:val="009435C1"/>
    <w:rsid w:val="00943E4D"/>
    <w:rsid w:val="009441FA"/>
    <w:rsid w:val="00944AB9"/>
    <w:rsid w:val="0094545B"/>
    <w:rsid w:val="0094710B"/>
    <w:rsid w:val="00947DF2"/>
    <w:rsid w:val="00947FDA"/>
    <w:rsid w:val="0095345D"/>
    <w:rsid w:val="00953C3D"/>
    <w:rsid w:val="009551AD"/>
    <w:rsid w:val="00955261"/>
    <w:rsid w:val="00955381"/>
    <w:rsid w:val="00956117"/>
    <w:rsid w:val="00956123"/>
    <w:rsid w:val="00956128"/>
    <w:rsid w:val="009561C0"/>
    <w:rsid w:val="00956837"/>
    <w:rsid w:val="00956E54"/>
    <w:rsid w:val="00957BE3"/>
    <w:rsid w:val="0096013F"/>
    <w:rsid w:val="0096057D"/>
    <w:rsid w:val="009608F9"/>
    <w:rsid w:val="0096093A"/>
    <w:rsid w:val="00960B42"/>
    <w:rsid w:val="00960E08"/>
    <w:rsid w:val="00961B3A"/>
    <w:rsid w:val="009639E3"/>
    <w:rsid w:val="00963C77"/>
    <w:rsid w:val="00965587"/>
    <w:rsid w:val="00965902"/>
    <w:rsid w:val="00966377"/>
    <w:rsid w:val="0096676B"/>
    <w:rsid w:val="00966AC3"/>
    <w:rsid w:val="009679DB"/>
    <w:rsid w:val="00967B39"/>
    <w:rsid w:val="00967E27"/>
    <w:rsid w:val="00970405"/>
    <w:rsid w:val="0097072C"/>
    <w:rsid w:val="00970AF0"/>
    <w:rsid w:val="00971122"/>
    <w:rsid w:val="009712EC"/>
    <w:rsid w:val="0097173F"/>
    <w:rsid w:val="00971F7B"/>
    <w:rsid w:val="00972565"/>
    <w:rsid w:val="00972F84"/>
    <w:rsid w:val="00973562"/>
    <w:rsid w:val="009745FA"/>
    <w:rsid w:val="00975529"/>
    <w:rsid w:val="009758FB"/>
    <w:rsid w:val="00975F46"/>
    <w:rsid w:val="009760E8"/>
    <w:rsid w:val="00976909"/>
    <w:rsid w:val="00977A81"/>
    <w:rsid w:val="00980E33"/>
    <w:rsid w:val="00981167"/>
    <w:rsid w:val="0098135C"/>
    <w:rsid w:val="009828B7"/>
    <w:rsid w:val="00982F25"/>
    <w:rsid w:val="009833BE"/>
    <w:rsid w:val="00983684"/>
    <w:rsid w:val="0098426B"/>
    <w:rsid w:val="00985218"/>
    <w:rsid w:val="0098552C"/>
    <w:rsid w:val="00986859"/>
    <w:rsid w:val="00987953"/>
    <w:rsid w:val="00990FA8"/>
    <w:rsid w:val="009911D1"/>
    <w:rsid w:val="009912F6"/>
    <w:rsid w:val="00992AC8"/>
    <w:rsid w:val="00992FF4"/>
    <w:rsid w:val="0099460E"/>
    <w:rsid w:val="00994BF1"/>
    <w:rsid w:val="00995E03"/>
    <w:rsid w:val="00997935"/>
    <w:rsid w:val="00997BE9"/>
    <w:rsid w:val="009A1655"/>
    <w:rsid w:val="009A2BD9"/>
    <w:rsid w:val="009A30CF"/>
    <w:rsid w:val="009A3D45"/>
    <w:rsid w:val="009A3FEF"/>
    <w:rsid w:val="009A42B3"/>
    <w:rsid w:val="009A433D"/>
    <w:rsid w:val="009A4D09"/>
    <w:rsid w:val="009A6135"/>
    <w:rsid w:val="009B0CFE"/>
    <w:rsid w:val="009B0F29"/>
    <w:rsid w:val="009B1B59"/>
    <w:rsid w:val="009B1E01"/>
    <w:rsid w:val="009B1E2A"/>
    <w:rsid w:val="009B1F55"/>
    <w:rsid w:val="009B2206"/>
    <w:rsid w:val="009B2895"/>
    <w:rsid w:val="009B2CB9"/>
    <w:rsid w:val="009B307D"/>
    <w:rsid w:val="009B3123"/>
    <w:rsid w:val="009B3200"/>
    <w:rsid w:val="009B35C1"/>
    <w:rsid w:val="009B4371"/>
    <w:rsid w:val="009B5354"/>
    <w:rsid w:val="009B6879"/>
    <w:rsid w:val="009B6937"/>
    <w:rsid w:val="009B77E4"/>
    <w:rsid w:val="009B799D"/>
    <w:rsid w:val="009C0242"/>
    <w:rsid w:val="009C05AC"/>
    <w:rsid w:val="009C1140"/>
    <w:rsid w:val="009C14B8"/>
    <w:rsid w:val="009C14C2"/>
    <w:rsid w:val="009C24DE"/>
    <w:rsid w:val="009C2AD0"/>
    <w:rsid w:val="009C364D"/>
    <w:rsid w:val="009C4539"/>
    <w:rsid w:val="009C5710"/>
    <w:rsid w:val="009C61AD"/>
    <w:rsid w:val="009C6371"/>
    <w:rsid w:val="009C6779"/>
    <w:rsid w:val="009C7113"/>
    <w:rsid w:val="009C7DD4"/>
    <w:rsid w:val="009D0107"/>
    <w:rsid w:val="009D09C7"/>
    <w:rsid w:val="009D1BA2"/>
    <w:rsid w:val="009D417C"/>
    <w:rsid w:val="009D418E"/>
    <w:rsid w:val="009D4E71"/>
    <w:rsid w:val="009D5208"/>
    <w:rsid w:val="009D5C77"/>
    <w:rsid w:val="009D6076"/>
    <w:rsid w:val="009D6E0D"/>
    <w:rsid w:val="009D7253"/>
    <w:rsid w:val="009E022F"/>
    <w:rsid w:val="009E2D17"/>
    <w:rsid w:val="009E393E"/>
    <w:rsid w:val="009E4FFA"/>
    <w:rsid w:val="009E54AA"/>
    <w:rsid w:val="009E596C"/>
    <w:rsid w:val="009E59DF"/>
    <w:rsid w:val="009E5AF9"/>
    <w:rsid w:val="009E5E5F"/>
    <w:rsid w:val="009E68FF"/>
    <w:rsid w:val="009E6D78"/>
    <w:rsid w:val="009E795E"/>
    <w:rsid w:val="009F0804"/>
    <w:rsid w:val="009F0A2E"/>
    <w:rsid w:val="009F0A3B"/>
    <w:rsid w:val="009F178A"/>
    <w:rsid w:val="009F1AAA"/>
    <w:rsid w:val="009F25FD"/>
    <w:rsid w:val="009F34F2"/>
    <w:rsid w:val="009F37BD"/>
    <w:rsid w:val="009F5390"/>
    <w:rsid w:val="009F58C3"/>
    <w:rsid w:val="009F6073"/>
    <w:rsid w:val="009F6A9C"/>
    <w:rsid w:val="009F6B81"/>
    <w:rsid w:val="009F7194"/>
    <w:rsid w:val="009F733E"/>
    <w:rsid w:val="009F739A"/>
    <w:rsid w:val="009F7ED8"/>
    <w:rsid w:val="00A00B31"/>
    <w:rsid w:val="00A018F0"/>
    <w:rsid w:val="00A01ABB"/>
    <w:rsid w:val="00A01C68"/>
    <w:rsid w:val="00A03D85"/>
    <w:rsid w:val="00A045E9"/>
    <w:rsid w:val="00A05911"/>
    <w:rsid w:val="00A05C07"/>
    <w:rsid w:val="00A068D9"/>
    <w:rsid w:val="00A07C6B"/>
    <w:rsid w:val="00A10582"/>
    <w:rsid w:val="00A111FD"/>
    <w:rsid w:val="00A13A8E"/>
    <w:rsid w:val="00A13F27"/>
    <w:rsid w:val="00A14CFE"/>
    <w:rsid w:val="00A15C4A"/>
    <w:rsid w:val="00A162A0"/>
    <w:rsid w:val="00A16703"/>
    <w:rsid w:val="00A2066B"/>
    <w:rsid w:val="00A20FDD"/>
    <w:rsid w:val="00A21DAF"/>
    <w:rsid w:val="00A21E73"/>
    <w:rsid w:val="00A22A3F"/>
    <w:rsid w:val="00A232CE"/>
    <w:rsid w:val="00A247CB"/>
    <w:rsid w:val="00A24CD8"/>
    <w:rsid w:val="00A24D9E"/>
    <w:rsid w:val="00A2548D"/>
    <w:rsid w:val="00A25CF5"/>
    <w:rsid w:val="00A27474"/>
    <w:rsid w:val="00A27A4A"/>
    <w:rsid w:val="00A27DC5"/>
    <w:rsid w:val="00A317A2"/>
    <w:rsid w:val="00A32618"/>
    <w:rsid w:val="00A33089"/>
    <w:rsid w:val="00A33166"/>
    <w:rsid w:val="00A33C78"/>
    <w:rsid w:val="00A3465F"/>
    <w:rsid w:val="00A350D8"/>
    <w:rsid w:val="00A35A59"/>
    <w:rsid w:val="00A35B13"/>
    <w:rsid w:val="00A369A6"/>
    <w:rsid w:val="00A36D34"/>
    <w:rsid w:val="00A36E71"/>
    <w:rsid w:val="00A4171F"/>
    <w:rsid w:val="00A42623"/>
    <w:rsid w:val="00A45C7E"/>
    <w:rsid w:val="00A46CDE"/>
    <w:rsid w:val="00A47389"/>
    <w:rsid w:val="00A529AA"/>
    <w:rsid w:val="00A5352E"/>
    <w:rsid w:val="00A54AC2"/>
    <w:rsid w:val="00A54B29"/>
    <w:rsid w:val="00A560AE"/>
    <w:rsid w:val="00A564A0"/>
    <w:rsid w:val="00A572C1"/>
    <w:rsid w:val="00A578AD"/>
    <w:rsid w:val="00A60616"/>
    <w:rsid w:val="00A61E1A"/>
    <w:rsid w:val="00A6476C"/>
    <w:rsid w:val="00A6490F"/>
    <w:rsid w:val="00A64974"/>
    <w:rsid w:val="00A64B95"/>
    <w:rsid w:val="00A64D4C"/>
    <w:rsid w:val="00A6619C"/>
    <w:rsid w:val="00A669F5"/>
    <w:rsid w:val="00A673C7"/>
    <w:rsid w:val="00A675D2"/>
    <w:rsid w:val="00A679AD"/>
    <w:rsid w:val="00A70CB0"/>
    <w:rsid w:val="00A70ED6"/>
    <w:rsid w:val="00A719BD"/>
    <w:rsid w:val="00A7227F"/>
    <w:rsid w:val="00A739AA"/>
    <w:rsid w:val="00A74BAE"/>
    <w:rsid w:val="00A760BA"/>
    <w:rsid w:val="00A777E1"/>
    <w:rsid w:val="00A807EE"/>
    <w:rsid w:val="00A80D7E"/>
    <w:rsid w:val="00A8133C"/>
    <w:rsid w:val="00A81AFB"/>
    <w:rsid w:val="00A82007"/>
    <w:rsid w:val="00A8421D"/>
    <w:rsid w:val="00A8459A"/>
    <w:rsid w:val="00A84FF8"/>
    <w:rsid w:val="00A8558B"/>
    <w:rsid w:val="00A85FB6"/>
    <w:rsid w:val="00A8649A"/>
    <w:rsid w:val="00A8742D"/>
    <w:rsid w:val="00A87F39"/>
    <w:rsid w:val="00A904AF"/>
    <w:rsid w:val="00A90C1A"/>
    <w:rsid w:val="00A90DEF"/>
    <w:rsid w:val="00A92B6D"/>
    <w:rsid w:val="00A94E54"/>
    <w:rsid w:val="00A94F9D"/>
    <w:rsid w:val="00A95273"/>
    <w:rsid w:val="00A95DAF"/>
    <w:rsid w:val="00A9695D"/>
    <w:rsid w:val="00A97116"/>
    <w:rsid w:val="00A97A52"/>
    <w:rsid w:val="00AA01F6"/>
    <w:rsid w:val="00AA0856"/>
    <w:rsid w:val="00AA0FBA"/>
    <w:rsid w:val="00AA13DA"/>
    <w:rsid w:val="00AA14D7"/>
    <w:rsid w:val="00AA170E"/>
    <w:rsid w:val="00AA2358"/>
    <w:rsid w:val="00AA2BD2"/>
    <w:rsid w:val="00AA2D62"/>
    <w:rsid w:val="00AA2ECE"/>
    <w:rsid w:val="00AA3006"/>
    <w:rsid w:val="00AA3BC4"/>
    <w:rsid w:val="00AA44BC"/>
    <w:rsid w:val="00AA4611"/>
    <w:rsid w:val="00AA5263"/>
    <w:rsid w:val="00AA5914"/>
    <w:rsid w:val="00AA74A6"/>
    <w:rsid w:val="00AA74BB"/>
    <w:rsid w:val="00AA7D01"/>
    <w:rsid w:val="00AB0344"/>
    <w:rsid w:val="00AB0570"/>
    <w:rsid w:val="00AB0DF2"/>
    <w:rsid w:val="00AB18B9"/>
    <w:rsid w:val="00AB2FFD"/>
    <w:rsid w:val="00AB3F8F"/>
    <w:rsid w:val="00AB4AC8"/>
    <w:rsid w:val="00AB5016"/>
    <w:rsid w:val="00AB52F2"/>
    <w:rsid w:val="00AB5775"/>
    <w:rsid w:val="00AB5E25"/>
    <w:rsid w:val="00AB5E3D"/>
    <w:rsid w:val="00AB6BE6"/>
    <w:rsid w:val="00AB7B79"/>
    <w:rsid w:val="00AC017C"/>
    <w:rsid w:val="00AC0323"/>
    <w:rsid w:val="00AC072E"/>
    <w:rsid w:val="00AC1EF6"/>
    <w:rsid w:val="00AC2BE2"/>
    <w:rsid w:val="00AC31F0"/>
    <w:rsid w:val="00AC35D3"/>
    <w:rsid w:val="00AC41A0"/>
    <w:rsid w:val="00AC5E29"/>
    <w:rsid w:val="00AC64B9"/>
    <w:rsid w:val="00AC6FDE"/>
    <w:rsid w:val="00AD14F3"/>
    <w:rsid w:val="00AD1DED"/>
    <w:rsid w:val="00AD2A4E"/>
    <w:rsid w:val="00AD2F0B"/>
    <w:rsid w:val="00AD33D2"/>
    <w:rsid w:val="00AD3949"/>
    <w:rsid w:val="00AD4173"/>
    <w:rsid w:val="00AD4402"/>
    <w:rsid w:val="00AD47AC"/>
    <w:rsid w:val="00AD7071"/>
    <w:rsid w:val="00AD7A10"/>
    <w:rsid w:val="00AD7D4A"/>
    <w:rsid w:val="00AE0722"/>
    <w:rsid w:val="00AE1221"/>
    <w:rsid w:val="00AE1BEE"/>
    <w:rsid w:val="00AE271A"/>
    <w:rsid w:val="00AE3090"/>
    <w:rsid w:val="00AE381B"/>
    <w:rsid w:val="00AE3E52"/>
    <w:rsid w:val="00AE450D"/>
    <w:rsid w:val="00AE4678"/>
    <w:rsid w:val="00AE468A"/>
    <w:rsid w:val="00AE5640"/>
    <w:rsid w:val="00AE598F"/>
    <w:rsid w:val="00AE6325"/>
    <w:rsid w:val="00AE68FA"/>
    <w:rsid w:val="00AE794D"/>
    <w:rsid w:val="00AE7E07"/>
    <w:rsid w:val="00AF08E7"/>
    <w:rsid w:val="00AF127B"/>
    <w:rsid w:val="00AF1773"/>
    <w:rsid w:val="00AF373A"/>
    <w:rsid w:val="00AF4046"/>
    <w:rsid w:val="00AF48F7"/>
    <w:rsid w:val="00AF5583"/>
    <w:rsid w:val="00AF5944"/>
    <w:rsid w:val="00AF5D6E"/>
    <w:rsid w:val="00AF63D5"/>
    <w:rsid w:val="00AF7412"/>
    <w:rsid w:val="00B00431"/>
    <w:rsid w:val="00B006A1"/>
    <w:rsid w:val="00B00A7C"/>
    <w:rsid w:val="00B00FE6"/>
    <w:rsid w:val="00B0153A"/>
    <w:rsid w:val="00B01DBB"/>
    <w:rsid w:val="00B02CBE"/>
    <w:rsid w:val="00B02D59"/>
    <w:rsid w:val="00B03B75"/>
    <w:rsid w:val="00B03D0C"/>
    <w:rsid w:val="00B04717"/>
    <w:rsid w:val="00B06F29"/>
    <w:rsid w:val="00B07E95"/>
    <w:rsid w:val="00B1009A"/>
    <w:rsid w:val="00B10645"/>
    <w:rsid w:val="00B12D6A"/>
    <w:rsid w:val="00B14650"/>
    <w:rsid w:val="00B14EC3"/>
    <w:rsid w:val="00B16267"/>
    <w:rsid w:val="00B16484"/>
    <w:rsid w:val="00B16697"/>
    <w:rsid w:val="00B16E25"/>
    <w:rsid w:val="00B16E2E"/>
    <w:rsid w:val="00B20EC4"/>
    <w:rsid w:val="00B21525"/>
    <w:rsid w:val="00B21ED0"/>
    <w:rsid w:val="00B2312A"/>
    <w:rsid w:val="00B232BD"/>
    <w:rsid w:val="00B24203"/>
    <w:rsid w:val="00B2434B"/>
    <w:rsid w:val="00B24ACC"/>
    <w:rsid w:val="00B2500C"/>
    <w:rsid w:val="00B260A6"/>
    <w:rsid w:val="00B262C1"/>
    <w:rsid w:val="00B26409"/>
    <w:rsid w:val="00B27903"/>
    <w:rsid w:val="00B32E1C"/>
    <w:rsid w:val="00B33075"/>
    <w:rsid w:val="00B33E98"/>
    <w:rsid w:val="00B34360"/>
    <w:rsid w:val="00B34EEA"/>
    <w:rsid w:val="00B352DF"/>
    <w:rsid w:val="00B3543E"/>
    <w:rsid w:val="00B35EC5"/>
    <w:rsid w:val="00B36973"/>
    <w:rsid w:val="00B37AEB"/>
    <w:rsid w:val="00B4044D"/>
    <w:rsid w:val="00B40D2F"/>
    <w:rsid w:val="00B41890"/>
    <w:rsid w:val="00B41E66"/>
    <w:rsid w:val="00B4244D"/>
    <w:rsid w:val="00B424A9"/>
    <w:rsid w:val="00B430C8"/>
    <w:rsid w:val="00B431AC"/>
    <w:rsid w:val="00B431CF"/>
    <w:rsid w:val="00B43602"/>
    <w:rsid w:val="00B4578F"/>
    <w:rsid w:val="00B45841"/>
    <w:rsid w:val="00B45AE0"/>
    <w:rsid w:val="00B47C10"/>
    <w:rsid w:val="00B50559"/>
    <w:rsid w:val="00B507A2"/>
    <w:rsid w:val="00B50B3B"/>
    <w:rsid w:val="00B50E32"/>
    <w:rsid w:val="00B51F9D"/>
    <w:rsid w:val="00B520C0"/>
    <w:rsid w:val="00B525E2"/>
    <w:rsid w:val="00B525FF"/>
    <w:rsid w:val="00B528D2"/>
    <w:rsid w:val="00B52F55"/>
    <w:rsid w:val="00B532CB"/>
    <w:rsid w:val="00B53792"/>
    <w:rsid w:val="00B53AFF"/>
    <w:rsid w:val="00B53EB2"/>
    <w:rsid w:val="00B5400E"/>
    <w:rsid w:val="00B541F2"/>
    <w:rsid w:val="00B54C71"/>
    <w:rsid w:val="00B551CF"/>
    <w:rsid w:val="00B559FA"/>
    <w:rsid w:val="00B5629B"/>
    <w:rsid w:val="00B563E4"/>
    <w:rsid w:val="00B57789"/>
    <w:rsid w:val="00B60085"/>
    <w:rsid w:val="00B600AB"/>
    <w:rsid w:val="00B60985"/>
    <w:rsid w:val="00B616ED"/>
    <w:rsid w:val="00B6293F"/>
    <w:rsid w:val="00B631FA"/>
    <w:rsid w:val="00B6353B"/>
    <w:rsid w:val="00B644E4"/>
    <w:rsid w:val="00B64F78"/>
    <w:rsid w:val="00B655D5"/>
    <w:rsid w:val="00B66113"/>
    <w:rsid w:val="00B67130"/>
    <w:rsid w:val="00B67C7C"/>
    <w:rsid w:val="00B70308"/>
    <w:rsid w:val="00B70DCD"/>
    <w:rsid w:val="00B713CB"/>
    <w:rsid w:val="00B71C8B"/>
    <w:rsid w:val="00B72802"/>
    <w:rsid w:val="00B730FE"/>
    <w:rsid w:val="00B73C65"/>
    <w:rsid w:val="00B747FB"/>
    <w:rsid w:val="00B75999"/>
    <w:rsid w:val="00B77474"/>
    <w:rsid w:val="00B777F9"/>
    <w:rsid w:val="00B778CC"/>
    <w:rsid w:val="00B7791D"/>
    <w:rsid w:val="00B8047A"/>
    <w:rsid w:val="00B809EA"/>
    <w:rsid w:val="00B8247E"/>
    <w:rsid w:val="00B827E0"/>
    <w:rsid w:val="00B82AD5"/>
    <w:rsid w:val="00B84B8A"/>
    <w:rsid w:val="00B85C71"/>
    <w:rsid w:val="00B86540"/>
    <w:rsid w:val="00B86AFA"/>
    <w:rsid w:val="00B8757D"/>
    <w:rsid w:val="00B87B39"/>
    <w:rsid w:val="00B90230"/>
    <w:rsid w:val="00B90BF6"/>
    <w:rsid w:val="00B90F87"/>
    <w:rsid w:val="00B914F5"/>
    <w:rsid w:val="00B93547"/>
    <w:rsid w:val="00B936B5"/>
    <w:rsid w:val="00B93E81"/>
    <w:rsid w:val="00B94678"/>
    <w:rsid w:val="00B952CC"/>
    <w:rsid w:val="00B95EE2"/>
    <w:rsid w:val="00BA0C64"/>
    <w:rsid w:val="00BA1677"/>
    <w:rsid w:val="00BA1B3D"/>
    <w:rsid w:val="00BA1FB4"/>
    <w:rsid w:val="00BA1FEF"/>
    <w:rsid w:val="00BA2E2F"/>
    <w:rsid w:val="00BA4D34"/>
    <w:rsid w:val="00BA5BDE"/>
    <w:rsid w:val="00BA5F0D"/>
    <w:rsid w:val="00BA62EF"/>
    <w:rsid w:val="00BA69E5"/>
    <w:rsid w:val="00BA7062"/>
    <w:rsid w:val="00BA7A7E"/>
    <w:rsid w:val="00BB0923"/>
    <w:rsid w:val="00BB2076"/>
    <w:rsid w:val="00BB20A1"/>
    <w:rsid w:val="00BB3490"/>
    <w:rsid w:val="00BB39AE"/>
    <w:rsid w:val="00BB3CAF"/>
    <w:rsid w:val="00BB41B4"/>
    <w:rsid w:val="00BB4393"/>
    <w:rsid w:val="00BB440B"/>
    <w:rsid w:val="00BB44F7"/>
    <w:rsid w:val="00BB4E27"/>
    <w:rsid w:val="00BB6D8D"/>
    <w:rsid w:val="00BC02A3"/>
    <w:rsid w:val="00BC2010"/>
    <w:rsid w:val="00BC3CCE"/>
    <w:rsid w:val="00BC3E20"/>
    <w:rsid w:val="00BC60BC"/>
    <w:rsid w:val="00BC719B"/>
    <w:rsid w:val="00BD0E15"/>
    <w:rsid w:val="00BD1C2C"/>
    <w:rsid w:val="00BD238D"/>
    <w:rsid w:val="00BD2586"/>
    <w:rsid w:val="00BD3C9D"/>
    <w:rsid w:val="00BD4574"/>
    <w:rsid w:val="00BD470D"/>
    <w:rsid w:val="00BD54AC"/>
    <w:rsid w:val="00BD6C6E"/>
    <w:rsid w:val="00BD71E0"/>
    <w:rsid w:val="00BD7832"/>
    <w:rsid w:val="00BD7DF9"/>
    <w:rsid w:val="00BD7FCC"/>
    <w:rsid w:val="00BE0862"/>
    <w:rsid w:val="00BE17D8"/>
    <w:rsid w:val="00BE1941"/>
    <w:rsid w:val="00BE2EB0"/>
    <w:rsid w:val="00BE3201"/>
    <w:rsid w:val="00BE3FB1"/>
    <w:rsid w:val="00BE4913"/>
    <w:rsid w:val="00BE51EA"/>
    <w:rsid w:val="00BE5234"/>
    <w:rsid w:val="00BE5498"/>
    <w:rsid w:val="00BE5BC4"/>
    <w:rsid w:val="00BE7A3A"/>
    <w:rsid w:val="00BE7B92"/>
    <w:rsid w:val="00BF0E54"/>
    <w:rsid w:val="00BF1FD9"/>
    <w:rsid w:val="00BF261F"/>
    <w:rsid w:val="00BF275E"/>
    <w:rsid w:val="00BF295E"/>
    <w:rsid w:val="00BF2C0C"/>
    <w:rsid w:val="00BF364B"/>
    <w:rsid w:val="00BF3B6F"/>
    <w:rsid w:val="00BF3EC5"/>
    <w:rsid w:val="00BF42E9"/>
    <w:rsid w:val="00BF558F"/>
    <w:rsid w:val="00BF5B74"/>
    <w:rsid w:val="00BF5BD0"/>
    <w:rsid w:val="00BF7D34"/>
    <w:rsid w:val="00BF7DFF"/>
    <w:rsid w:val="00C000E7"/>
    <w:rsid w:val="00C00C5C"/>
    <w:rsid w:val="00C0164A"/>
    <w:rsid w:val="00C01807"/>
    <w:rsid w:val="00C01AA9"/>
    <w:rsid w:val="00C028FB"/>
    <w:rsid w:val="00C02A8C"/>
    <w:rsid w:val="00C02BCC"/>
    <w:rsid w:val="00C03463"/>
    <w:rsid w:val="00C03891"/>
    <w:rsid w:val="00C03BDE"/>
    <w:rsid w:val="00C04635"/>
    <w:rsid w:val="00C059BE"/>
    <w:rsid w:val="00C05E06"/>
    <w:rsid w:val="00C06527"/>
    <w:rsid w:val="00C0686A"/>
    <w:rsid w:val="00C06B64"/>
    <w:rsid w:val="00C07ADF"/>
    <w:rsid w:val="00C10864"/>
    <w:rsid w:val="00C1086C"/>
    <w:rsid w:val="00C14CCA"/>
    <w:rsid w:val="00C14D1F"/>
    <w:rsid w:val="00C15C73"/>
    <w:rsid w:val="00C17135"/>
    <w:rsid w:val="00C17B3A"/>
    <w:rsid w:val="00C17D09"/>
    <w:rsid w:val="00C20128"/>
    <w:rsid w:val="00C20289"/>
    <w:rsid w:val="00C2045A"/>
    <w:rsid w:val="00C2166D"/>
    <w:rsid w:val="00C22705"/>
    <w:rsid w:val="00C227AB"/>
    <w:rsid w:val="00C22D97"/>
    <w:rsid w:val="00C24365"/>
    <w:rsid w:val="00C258CE"/>
    <w:rsid w:val="00C27229"/>
    <w:rsid w:val="00C27729"/>
    <w:rsid w:val="00C3060E"/>
    <w:rsid w:val="00C30EA2"/>
    <w:rsid w:val="00C311D5"/>
    <w:rsid w:val="00C3133F"/>
    <w:rsid w:val="00C32489"/>
    <w:rsid w:val="00C32A0E"/>
    <w:rsid w:val="00C33007"/>
    <w:rsid w:val="00C331B8"/>
    <w:rsid w:val="00C344AE"/>
    <w:rsid w:val="00C344B7"/>
    <w:rsid w:val="00C347AC"/>
    <w:rsid w:val="00C35DB5"/>
    <w:rsid w:val="00C35EC2"/>
    <w:rsid w:val="00C36DB2"/>
    <w:rsid w:val="00C379BF"/>
    <w:rsid w:val="00C4054C"/>
    <w:rsid w:val="00C4137A"/>
    <w:rsid w:val="00C42E69"/>
    <w:rsid w:val="00C43159"/>
    <w:rsid w:val="00C443AE"/>
    <w:rsid w:val="00C4485C"/>
    <w:rsid w:val="00C457AC"/>
    <w:rsid w:val="00C45CD9"/>
    <w:rsid w:val="00C46523"/>
    <w:rsid w:val="00C4667A"/>
    <w:rsid w:val="00C4669F"/>
    <w:rsid w:val="00C467AD"/>
    <w:rsid w:val="00C47707"/>
    <w:rsid w:val="00C47C69"/>
    <w:rsid w:val="00C5064C"/>
    <w:rsid w:val="00C51651"/>
    <w:rsid w:val="00C52C76"/>
    <w:rsid w:val="00C53D22"/>
    <w:rsid w:val="00C540B0"/>
    <w:rsid w:val="00C5649D"/>
    <w:rsid w:val="00C5696F"/>
    <w:rsid w:val="00C56B78"/>
    <w:rsid w:val="00C577F7"/>
    <w:rsid w:val="00C57D48"/>
    <w:rsid w:val="00C6027A"/>
    <w:rsid w:val="00C603A0"/>
    <w:rsid w:val="00C610ED"/>
    <w:rsid w:val="00C612BF"/>
    <w:rsid w:val="00C625AA"/>
    <w:rsid w:val="00C63680"/>
    <w:rsid w:val="00C6371B"/>
    <w:rsid w:val="00C63BDA"/>
    <w:rsid w:val="00C63F88"/>
    <w:rsid w:val="00C6440B"/>
    <w:rsid w:val="00C6487D"/>
    <w:rsid w:val="00C64F51"/>
    <w:rsid w:val="00C6599A"/>
    <w:rsid w:val="00C65DD9"/>
    <w:rsid w:val="00C65F56"/>
    <w:rsid w:val="00C66377"/>
    <w:rsid w:val="00C66A24"/>
    <w:rsid w:val="00C67433"/>
    <w:rsid w:val="00C67AE4"/>
    <w:rsid w:val="00C67AF7"/>
    <w:rsid w:val="00C70402"/>
    <w:rsid w:val="00C704A6"/>
    <w:rsid w:val="00C70BD4"/>
    <w:rsid w:val="00C71EC4"/>
    <w:rsid w:val="00C721D4"/>
    <w:rsid w:val="00C724A6"/>
    <w:rsid w:val="00C74ACB"/>
    <w:rsid w:val="00C74C9D"/>
    <w:rsid w:val="00C7573F"/>
    <w:rsid w:val="00C75962"/>
    <w:rsid w:val="00C7672C"/>
    <w:rsid w:val="00C76C48"/>
    <w:rsid w:val="00C76CB0"/>
    <w:rsid w:val="00C77019"/>
    <w:rsid w:val="00C772AB"/>
    <w:rsid w:val="00C84FDD"/>
    <w:rsid w:val="00C8536B"/>
    <w:rsid w:val="00C8762E"/>
    <w:rsid w:val="00C87E9C"/>
    <w:rsid w:val="00C9005B"/>
    <w:rsid w:val="00C90395"/>
    <w:rsid w:val="00C924DD"/>
    <w:rsid w:val="00C928A2"/>
    <w:rsid w:val="00C92E1B"/>
    <w:rsid w:val="00C934BC"/>
    <w:rsid w:val="00C943C3"/>
    <w:rsid w:val="00C9460F"/>
    <w:rsid w:val="00C946F3"/>
    <w:rsid w:val="00C953A7"/>
    <w:rsid w:val="00C96168"/>
    <w:rsid w:val="00C9651D"/>
    <w:rsid w:val="00C96CE8"/>
    <w:rsid w:val="00C96F82"/>
    <w:rsid w:val="00C97D22"/>
    <w:rsid w:val="00CA0542"/>
    <w:rsid w:val="00CA099F"/>
    <w:rsid w:val="00CA0CE7"/>
    <w:rsid w:val="00CA0DFA"/>
    <w:rsid w:val="00CA2477"/>
    <w:rsid w:val="00CA2F1C"/>
    <w:rsid w:val="00CA32FE"/>
    <w:rsid w:val="00CA367C"/>
    <w:rsid w:val="00CA4312"/>
    <w:rsid w:val="00CA4435"/>
    <w:rsid w:val="00CA59FE"/>
    <w:rsid w:val="00CA6CCF"/>
    <w:rsid w:val="00CA6D4C"/>
    <w:rsid w:val="00CB01E9"/>
    <w:rsid w:val="00CB088C"/>
    <w:rsid w:val="00CB2BE0"/>
    <w:rsid w:val="00CB40CA"/>
    <w:rsid w:val="00CB4873"/>
    <w:rsid w:val="00CB4A95"/>
    <w:rsid w:val="00CB52C3"/>
    <w:rsid w:val="00CB5BD7"/>
    <w:rsid w:val="00CB5FBF"/>
    <w:rsid w:val="00CB6964"/>
    <w:rsid w:val="00CB7126"/>
    <w:rsid w:val="00CB73CB"/>
    <w:rsid w:val="00CC0208"/>
    <w:rsid w:val="00CC0699"/>
    <w:rsid w:val="00CC13E6"/>
    <w:rsid w:val="00CC17CC"/>
    <w:rsid w:val="00CC1C36"/>
    <w:rsid w:val="00CC24FF"/>
    <w:rsid w:val="00CC3135"/>
    <w:rsid w:val="00CC3538"/>
    <w:rsid w:val="00CC3784"/>
    <w:rsid w:val="00CC3975"/>
    <w:rsid w:val="00CC436F"/>
    <w:rsid w:val="00CC564B"/>
    <w:rsid w:val="00CC57E7"/>
    <w:rsid w:val="00CC5A59"/>
    <w:rsid w:val="00CC5CC0"/>
    <w:rsid w:val="00CC6610"/>
    <w:rsid w:val="00CC6CC7"/>
    <w:rsid w:val="00CC6F6C"/>
    <w:rsid w:val="00CC7836"/>
    <w:rsid w:val="00CC7DE9"/>
    <w:rsid w:val="00CD0199"/>
    <w:rsid w:val="00CD05D9"/>
    <w:rsid w:val="00CD09FA"/>
    <w:rsid w:val="00CD2357"/>
    <w:rsid w:val="00CD2360"/>
    <w:rsid w:val="00CD2B43"/>
    <w:rsid w:val="00CD2C29"/>
    <w:rsid w:val="00CD3C24"/>
    <w:rsid w:val="00CD3EF2"/>
    <w:rsid w:val="00CD3F79"/>
    <w:rsid w:val="00CD44A9"/>
    <w:rsid w:val="00CD5F00"/>
    <w:rsid w:val="00CD62BF"/>
    <w:rsid w:val="00CD62DF"/>
    <w:rsid w:val="00CD6E4D"/>
    <w:rsid w:val="00CD7157"/>
    <w:rsid w:val="00CE0254"/>
    <w:rsid w:val="00CE0A19"/>
    <w:rsid w:val="00CE0C15"/>
    <w:rsid w:val="00CE0D78"/>
    <w:rsid w:val="00CE1DF6"/>
    <w:rsid w:val="00CE28E6"/>
    <w:rsid w:val="00CE2A6F"/>
    <w:rsid w:val="00CE2BE0"/>
    <w:rsid w:val="00CE2F7E"/>
    <w:rsid w:val="00CE380F"/>
    <w:rsid w:val="00CE3D10"/>
    <w:rsid w:val="00CE4B88"/>
    <w:rsid w:val="00CE4D30"/>
    <w:rsid w:val="00CE6990"/>
    <w:rsid w:val="00CE6CA8"/>
    <w:rsid w:val="00CF06B8"/>
    <w:rsid w:val="00CF17E0"/>
    <w:rsid w:val="00CF1D33"/>
    <w:rsid w:val="00CF21F5"/>
    <w:rsid w:val="00CF2541"/>
    <w:rsid w:val="00CF2E5F"/>
    <w:rsid w:val="00CF353A"/>
    <w:rsid w:val="00CF378E"/>
    <w:rsid w:val="00CF382D"/>
    <w:rsid w:val="00CF3AC6"/>
    <w:rsid w:val="00CF3BFC"/>
    <w:rsid w:val="00CF4EBA"/>
    <w:rsid w:val="00CF57AB"/>
    <w:rsid w:val="00CF68C7"/>
    <w:rsid w:val="00CF6941"/>
    <w:rsid w:val="00CF700C"/>
    <w:rsid w:val="00CF772E"/>
    <w:rsid w:val="00D005B4"/>
    <w:rsid w:val="00D00C40"/>
    <w:rsid w:val="00D00FE2"/>
    <w:rsid w:val="00D0108A"/>
    <w:rsid w:val="00D01413"/>
    <w:rsid w:val="00D0141F"/>
    <w:rsid w:val="00D0169F"/>
    <w:rsid w:val="00D037BB"/>
    <w:rsid w:val="00D04C46"/>
    <w:rsid w:val="00D05413"/>
    <w:rsid w:val="00D058B9"/>
    <w:rsid w:val="00D05D3D"/>
    <w:rsid w:val="00D06091"/>
    <w:rsid w:val="00D06ADF"/>
    <w:rsid w:val="00D06DD2"/>
    <w:rsid w:val="00D06FB6"/>
    <w:rsid w:val="00D0735F"/>
    <w:rsid w:val="00D10673"/>
    <w:rsid w:val="00D10D0C"/>
    <w:rsid w:val="00D11DAC"/>
    <w:rsid w:val="00D1247F"/>
    <w:rsid w:val="00D1351A"/>
    <w:rsid w:val="00D13E78"/>
    <w:rsid w:val="00D145CC"/>
    <w:rsid w:val="00D1493E"/>
    <w:rsid w:val="00D1512B"/>
    <w:rsid w:val="00D15A61"/>
    <w:rsid w:val="00D17CF6"/>
    <w:rsid w:val="00D206A7"/>
    <w:rsid w:val="00D212A5"/>
    <w:rsid w:val="00D21AEA"/>
    <w:rsid w:val="00D22038"/>
    <w:rsid w:val="00D221EE"/>
    <w:rsid w:val="00D22518"/>
    <w:rsid w:val="00D22603"/>
    <w:rsid w:val="00D230DA"/>
    <w:rsid w:val="00D234D2"/>
    <w:rsid w:val="00D2437F"/>
    <w:rsid w:val="00D24421"/>
    <w:rsid w:val="00D25254"/>
    <w:rsid w:val="00D25661"/>
    <w:rsid w:val="00D260E6"/>
    <w:rsid w:val="00D27B1E"/>
    <w:rsid w:val="00D30ACF"/>
    <w:rsid w:val="00D30EA5"/>
    <w:rsid w:val="00D31375"/>
    <w:rsid w:val="00D32AB9"/>
    <w:rsid w:val="00D334BE"/>
    <w:rsid w:val="00D33A5C"/>
    <w:rsid w:val="00D33A69"/>
    <w:rsid w:val="00D35CBF"/>
    <w:rsid w:val="00D36879"/>
    <w:rsid w:val="00D36F94"/>
    <w:rsid w:val="00D40878"/>
    <w:rsid w:val="00D410EB"/>
    <w:rsid w:val="00D41430"/>
    <w:rsid w:val="00D428FD"/>
    <w:rsid w:val="00D42ACD"/>
    <w:rsid w:val="00D43CC4"/>
    <w:rsid w:val="00D46075"/>
    <w:rsid w:val="00D471D3"/>
    <w:rsid w:val="00D47D7E"/>
    <w:rsid w:val="00D50383"/>
    <w:rsid w:val="00D505F9"/>
    <w:rsid w:val="00D50E76"/>
    <w:rsid w:val="00D51779"/>
    <w:rsid w:val="00D53C8B"/>
    <w:rsid w:val="00D53FF5"/>
    <w:rsid w:val="00D546BF"/>
    <w:rsid w:val="00D54F9B"/>
    <w:rsid w:val="00D562EA"/>
    <w:rsid w:val="00D563F5"/>
    <w:rsid w:val="00D56CEB"/>
    <w:rsid w:val="00D577FC"/>
    <w:rsid w:val="00D57802"/>
    <w:rsid w:val="00D57C88"/>
    <w:rsid w:val="00D60652"/>
    <w:rsid w:val="00D60B53"/>
    <w:rsid w:val="00D61541"/>
    <w:rsid w:val="00D63913"/>
    <w:rsid w:val="00D63C6D"/>
    <w:rsid w:val="00D63F58"/>
    <w:rsid w:val="00D6427A"/>
    <w:rsid w:val="00D6487F"/>
    <w:rsid w:val="00D64A77"/>
    <w:rsid w:val="00D64E4E"/>
    <w:rsid w:val="00D65AF0"/>
    <w:rsid w:val="00D65D04"/>
    <w:rsid w:val="00D66DF9"/>
    <w:rsid w:val="00D66F1C"/>
    <w:rsid w:val="00D670A3"/>
    <w:rsid w:val="00D67CB0"/>
    <w:rsid w:val="00D67EB2"/>
    <w:rsid w:val="00D7026E"/>
    <w:rsid w:val="00D70689"/>
    <w:rsid w:val="00D70C4C"/>
    <w:rsid w:val="00D70DC1"/>
    <w:rsid w:val="00D713CB"/>
    <w:rsid w:val="00D7158A"/>
    <w:rsid w:val="00D716E3"/>
    <w:rsid w:val="00D72248"/>
    <w:rsid w:val="00D72CCC"/>
    <w:rsid w:val="00D73302"/>
    <w:rsid w:val="00D73DE7"/>
    <w:rsid w:val="00D74171"/>
    <w:rsid w:val="00D7566D"/>
    <w:rsid w:val="00D77304"/>
    <w:rsid w:val="00D812CC"/>
    <w:rsid w:val="00D81874"/>
    <w:rsid w:val="00D821B6"/>
    <w:rsid w:val="00D822C5"/>
    <w:rsid w:val="00D846FA"/>
    <w:rsid w:val="00D84A12"/>
    <w:rsid w:val="00D84D61"/>
    <w:rsid w:val="00D86328"/>
    <w:rsid w:val="00D86507"/>
    <w:rsid w:val="00D87EB2"/>
    <w:rsid w:val="00D93659"/>
    <w:rsid w:val="00D940BF"/>
    <w:rsid w:val="00D94690"/>
    <w:rsid w:val="00D949FD"/>
    <w:rsid w:val="00D94BB0"/>
    <w:rsid w:val="00D94C37"/>
    <w:rsid w:val="00D96A7F"/>
    <w:rsid w:val="00D97776"/>
    <w:rsid w:val="00D97F13"/>
    <w:rsid w:val="00DA04E5"/>
    <w:rsid w:val="00DA0753"/>
    <w:rsid w:val="00DA20CD"/>
    <w:rsid w:val="00DA2395"/>
    <w:rsid w:val="00DA2C07"/>
    <w:rsid w:val="00DA2E62"/>
    <w:rsid w:val="00DA3CD8"/>
    <w:rsid w:val="00DA447B"/>
    <w:rsid w:val="00DA5450"/>
    <w:rsid w:val="00DA5532"/>
    <w:rsid w:val="00DA5872"/>
    <w:rsid w:val="00DA5A17"/>
    <w:rsid w:val="00DA60CA"/>
    <w:rsid w:val="00DA62DB"/>
    <w:rsid w:val="00DA66D2"/>
    <w:rsid w:val="00DA7966"/>
    <w:rsid w:val="00DB00A5"/>
    <w:rsid w:val="00DB02EE"/>
    <w:rsid w:val="00DB0792"/>
    <w:rsid w:val="00DB0E02"/>
    <w:rsid w:val="00DB19A6"/>
    <w:rsid w:val="00DB3B00"/>
    <w:rsid w:val="00DB3F00"/>
    <w:rsid w:val="00DB4910"/>
    <w:rsid w:val="00DB65BA"/>
    <w:rsid w:val="00DB6AAA"/>
    <w:rsid w:val="00DC0032"/>
    <w:rsid w:val="00DC0194"/>
    <w:rsid w:val="00DC056B"/>
    <w:rsid w:val="00DC066F"/>
    <w:rsid w:val="00DC06A6"/>
    <w:rsid w:val="00DC09B9"/>
    <w:rsid w:val="00DC27FB"/>
    <w:rsid w:val="00DC2971"/>
    <w:rsid w:val="00DC2A07"/>
    <w:rsid w:val="00DC377C"/>
    <w:rsid w:val="00DC3896"/>
    <w:rsid w:val="00DC395F"/>
    <w:rsid w:val="00DC3E67"/>
    <w:rsid w:val="00DC407D"/>
    <w:rsid w:val="00DC45F8"/>
    <w:rsid w:val="00DC5296"/>
    <w:rsid w:val="00DC5675"/>
    <w:rsid w:val="00DC5A2D"/>
    <w:rsid w:val="00DC62C5"/>
    <w:rsid w:val="00DC7BFA"/>
    <w:rsid w:val="00DC7EAA"/>
    <w:rsid w:val="00DD000C"/>
    <w:rsid w:val="00DD069F"/>
    <w:rsid w:val="00DD29AE"/>
    <w:rsid w:val="00DD33EF"/>
    <w:rsid w:val="00DD74DB"/>
    <w:rsid w:val="00DE0327"/>
    <w:rsid w:val="00DE052D"/>
    <w:rsid w:val="00DE0887"/>
    <w:rsid w:val="00DE0D95"/>
    <w:rsid w:val="00DE2805"/>
    <w:rsid w:val="00DE2E97"/>
    <w:rsid w:val="00DE2FC7"/>
    <w:rsid w:val="00DE316B"/>
    <w:rsid w:val="00DE331C"/>
    <w:rsid w:val="00DE3CDF"/>
    <w:rsid w:val="00DE4014"/>
    <w:rsid w:val="00DE4135"/>
    <w:rsid w:val="00DE4565"/>
    <w:rsid w:val="00DE51DE"/>
    <w:rsid w:val="00DE5484"/>
    <w:rsid w:val="00DE553B"/>
    <w:rsid w:val="00DE607C"/>
    <w:rsid w:val="00DE762A"/>
    <w:rsid w:val="00DF0020"/>
    <w:rsid w:val="00DF2BAD"/>
    <w:rsid w:val="00DF4CBC"/>
    <w:rsid w:val="00DF4E6B"/>
    <w:rsid w:val="00DF4E78"/>
    <w:rsid w:val="00DF50F2"/>
    <w:rsid w:val="00DF5334"/>
    <w:rsid w:val="00DF60EF"/>
    <w:rsid w:val="00DF6250"/>
    <w:rsid w:val="00DF6307"/>
    <w:rsid w:val="00DF6860"/>
    <w:rsid w:val="00DF6C27"/>
    <w:rsid w:val="00DF7007"/>
    <w:rsid w:val="00DF7313"/>
    <w:rsid w:val="00E00CEA"/>
    <w:rsid w:val="00E00E32"/>
    <w:rsid w:val="00E00EAE"/>
    <w:rsid w:val="00E01119"/>
    <w:rsid w:val="00E0165C"/>
    <w:rsid w:val="00E020C2"/>
    <w:rsid w:val="00E028F4"/>
    <w:rsid w:val="00E02CC4"/>
    <w:rsid w:val="00E02D4D"/>
    <w:rsid w:val="00E04420"/>
    <w:rsid w:val="00E04ACA"/>
    <w:rsid w:val="00E04CF5"/>
    <w:rsid w:val="00E04EBD"/>
    <w:rsid w:val="00E065D8"/>
    <w:rsid w:val="00E0666C"/>
    <w:rsid w:val="00E07416"/>
    <w:rsid w:val="00E0768A"/>
    <w:rsid w:val="00E102E0"/>
    <w:rsid w:val="00E120E8"/>
    <w:rsid w:val="00E12A76"/>
    <w:rsid w:val="00E13202"/>
    <w:rsid w:val="00E134C5"/>
    <w:rsid w:val="00E13C4A"/>
    <w:rsid w:val="00E13F40"/>
    <w:rsid w:val="00E1423E"/>
    <w:rsid w:val="00E14912"/>
    <w:rsid w:val="00E15140"/>
    <w:rsid w:val="00E16D31"/>
    <w:rsid w:val="00E1756B"/>
    <w:rsid w:val="00E2036C"/>
    <w:rsid w:val="00E205CB"/>
    <w:rsid w:val="00E21993"/>
    <w:rsid w:val="00E22852"/>
    <w:rsid w:val="00E22BC9"/>
    <w:rsid w:val="00E22F93"/>
    <w:rsid w:val="00E23B7E"/>
    <w:rsid w:val="00E24194"/>
    <w:rsid w:val="00E24EC5"/>
    <w:rsid w:val="00E25160"/>
    <w:rsid w:val="00E262F2"/>
    <w:rsid w:val="00E2754F"/>
    <w:rsid w:val="00E313C0"/>
    <w:rsid w:val="00E31EC0"/>
    <w:rsid w:val="00E33710"/>
    <w:rsid w:val="00E339E1"/>
    <w:rsid w:val="00E3408B"/>
    <w:rsid w:val="00E359F4"/>
    <w:rsid w:val="00E35AC0"/>
    <w:rsid w:val="00E36819"/>
    <w:rsid w:val="00E3681F"/>
    <w:rsid w:val="00E36926"/>
    <w:rsid w:val="00E37264"/>
    <w:rsid w:val="00E37954"/>
    <w:rsid w:val="00E37DA4"/>
    <w:rsid w:val="00E37FA2"/>
    <w:rsid w:val="00E41B48"/>
    <w:rsid w:val="00E423B7"/>
    <w:rsid w:val="00E43083"/>
    <w:rsid w:val="00E431D3"/>
    <w:rsid w:val="00E43D7A"/>
    <w:rsid w:val="00E43DAF"/>
    <w:rsid w:val="00E447E1"/>
    <w:rsid w:val="00E44FE6"/>
    <w:rsid w:val="00E456F8"/>
    <w:rsid w:val="00E45F05"/>
    <w:rsid w:val="00E52114"/>
    <w:rsid w:val="00E52777"/>
    <w:rsid w:val="00E52E4D"/>
    <w:rsid w:val="00E53391"/>
    <w:rsid w:val="00E5494A"/>
    <w:rsid w:val="00E54CB0"/>
    <w:rsid w:val="00E54D76"/>
    <w:rsid w:val="00E5559B"/>
    <w:rsid w:val="00E55978"/>
    <w:rsid w:val="00E61291"/>
    <w:rsid w:val="00E614D1"/>
    <w:rsid w:val="00E62406"/>
    <w:rsid w:val="00E647E7"/>
    <w:rsid w:val="00E659D5"/>
    <w:rsid w:val="00E669BD"/>
    <w:rsid w:val="00E67253"/>
    <w:rsid w:val="00E67B84"/>
    <w:rsid w:val="00E67E0B"/>
    <w:rsid w:val="00E70A5B"/>
    <w:rsid w:val="00E72139"/>
    <w:rsid w:val="00E731E5"/>
    <w:rsid w:val="00E74193"/>
    <w:rsid w:val="00E7463D"/>
    <w:rsid w:val="00E75B4F"/>
    <w:rsid w:val="00E7631F"/>
    <w:rsid w:val="00E76799"/>
    <w:rsid w:val="00E76FFF"/>
    <w:rsid w:val="00E770EA"/>
    <w:rsid w:val="00E772CE"/>
    <w:rsid w:val="00E77B76"/>
    <w:rsid w:val="00E80C8F"/>
    <w:rsid w:val="00E81996"/>
    <w:rsid w:val="00E825A6"/>
    <w:rsid w:val="00E83927"/>
    <w:rsid w:val="00E85233"/>
    <w:rsid w:val="00E8563D"/>
    <w:rsid w:val="00E8578D"/>
    <w:rsid w:val="00E858A3"/>
    <w:rsid w:val="00E85949"/>
    <w:rsid w:val="00E86B18"/>
    <w:rsid w:val="00E9044C"/>
    <w:rsid w:val="00E90537"/>
    <w:rsid w:val="00E916AD"/>
    <w:rsid w:val="00E917BB"/>
    <w:rsid w:val="00E92016"/>
    <w:rsid w:val="00E922B0"/>
    <w:rsid w:val="00E93E99"/>
    <w:rsid w:val="00E9423C"/>
    <w:rsid w:val="00E9562C"/>
    <w:rsid w:val="00E963FB"/>
    <w:rsid w:val="00E970F0"/>
    <w:rsid w:val="00E97265"/>
    <w:rsid w:val="00E9755D"/>
    <w:rsid w:val="00E975B3"/>
    <w:rsid w:val="00EA0046"/>
    <w:rsid w:val="00EA0277"/>
    <w:rsid w:val="00EA0289"/>
    <w:rsid w:val="00EA291F"/>
    <w:rsid w:val="00EA3F88"/>
    <w:rsid w:val="00EA3F9E"/>
    <w:rsid w:val="00EA4539"/>
    <w:rsid w:val="00EA505A"/>
    <w:rsid w:val="00EA53DF"/>
    <w:rsid w:val="00EA63CC"/>
    <w:rsid w:val="00EB06DB"/>
    <w:rsid w:val="00EB0B06"/>
    <w:rsid w:val="00EB0F8B"/>
    <w:rsid w:val="00EB10FD"/>
    <w:rsid w:val="00EB324C"/>
    <w:rsid w:val="00EB4B81"/>
    <w:rsid w:val="00EB5B94"/>
    <w:rsid w:val="00EB5E07"/>
    <w:rsid w:val="00EB61CE"/>
    <w:rsid w:val="00EB66E7"/>
    <w:rsid w:val="00EB67AA"/>
    <w:rsid w:val="00EB6931"/>
    <w:rsid w:val="00EC0D35"/>
    <w:rsid w:val="00EC14AE"/>
    <w:rsid w:val="00EC1699"/>
    <w:rsid w:val="00EC3514"/>
    <w:rsid w:val="00EC36BF"/>
    <w:rsid w:val="00EC3BF4"/>
    <w:rsid w:val="00EC40DE"/>
    <w:rsid w:val="00EC48E4"/>
    <w:rsid w:val="00EC4F13"/>
    <w:rsid w:val="00EC50CD"/>
    <w:rsid w:val="00EC5AA4"/>
    <w:rsid w:val="00EC5AFE"/>
    <w:rsid w:val="00EC5C47"/>
    <w:rsid w:val="00EC5ECB"/>
    <w:rsid w:val="00EC6C5B"/>
    <w:rsid w:val="00EC6D4F"/>
    <w:rsid w:val="00EC6E4B"/>
    <w:rsid w:val="00EC70C7"/>
    <w:rsid w:val="00EC762F"/>
    <w:rsid w:val="00EC77EF"/>
    <w:rsid w:val="00ED17F4"/>
    <w:rsid w:val="00ED21E2"/>
    <w:rsid w:val="00ED2E36"/>
    <w:rsid w:val="00ED3316"/>
    <w:rsid w:val="00ED4199"/>
    <w:rsid w:val="00ED4FAB"/>
    <w:rsid w:val="00ED5203"/>
    <w:rsid w:val="00ED6080"/>
    <w:rsid w:val="00ED6758"/>
    <w:rsid w:val="00ED6FE4"/>
    <w:rsid w:val="00ED7403"/>
    <w:rsid w:val="00ED7CB7"/>
    <w:rsid w:val="00EE1E83"/>
    <w:rsid w:val="00EE1E8A"/>
    <w:rsid w:val="00EE5F77"/>
    <w:rsid w:val="00EE633E"/>
    <w:rsid w:val="00EE6FE6"/>
    <w:rsid w:val="00EE74E0"/>
    <w:rsid w:val="00EE7582"/>
    <w:rsid w:val="00EE7707"/>
    <w:rsid w:val="00EF020B"/>
    <w:rsid w:val="00EF0397"/>
    <w:rsid w:val="00EF0A75"/>
    <w:rsid w:val="00EF0CF8"/>
    <w:rsid w:val="00EF0D1F"/>
    <w:rsid w:val="00EF12ED"/>
    <w:rsid w:val="00EF2A88"/>
    <w:rsid w:val="00EF345C"/>
    <w:rsid w:val="00EF3703"/>
    <w:rsid w:val="00EF6DC3"/>
    <w:rsid w:val="00EF700F"/>
    <w:rsid w:val="00EF7E3B"/>
    <w:rsid w:val="00F00CAA"/>
    <w:rsid w:val="00F0229D"/>
    <w:rsid w:val="00F0297F"/>
    <w:rsid w:val="00F03C15"/>
    <w:rsid w:val="00F03CDC"/>
    <w:rsid w:val="00F03E85"/>
    <w:rsid w:val="00F0449B"/>
    <w:rsid w:val="00F04737"/>
    <w:rsid w:val="00F0475E"/>
    <w:rsid w:val="00F047C3"/>
    <w:rsid w:val="00F04AB6"/>
    <w:rsid w:val="00F04CCF"/>
    <w:rsid w:val="00F0612A"/>
    <w:rsid w:val="00F06140"/>
    <w:rsid w:val="00F06E69"/>
    <w:rsid w:val="00F075CA"/>
    <w:rsid w:val="00F07BAC"/>
    <w:rsid w:val="00F11763"/>
    <w:rsid w:val="00F12391"/>
    <w:rsid w:val="00F12822"/>
    <w:rsid w:val="00F13478"/>
    <w:rsid w:val="00F138F3"/>
    <w:rsid w:val="00F1536C"/>
    <w:rsid w:val="00F16A06"/>
    <w:rsid w:val="00F176B8"/>
    <w:rsid w:val="00F207E0"/>
    <w:rsid w:val="00F218CA"/>
    <w:rsid w:val="00F2273D"/>
    <w:rsid w:val="00F24246"/>
    <w:rsid w:val="00F26660"/>
    <w:rsid w:val="00F26C04"/>
    <w:rsid w:val="00F27F50"/>
    <w:rsid w:val="00F31172"/>
    <w:rsid w:val="00F312FC"/>
    <w:rsid w:val="00F31391"/>
    <w:rsid w:val="00F3192E"/>
    <w:rsid w:val="00F32AB5"/>
    <w:rsid w:val="00F33D28"/>
    <w:rsid w:val="00F363EB"/>
    <w:rsid w:val="00F3691E"/>
    <w:rsid w:val="00F3764C"/>
    <w:rsid w:val="00F37994"/>
    <w:rsid w:val="00F37F1F"/>
    <w:rsid w:val="00F4017D"/>
    <w:rsid w:val="00F41216"/>
    <w:rsid w:val="00F42074"/>
    <w:rsid w:val="00F431A8"/>
    <w:rsid w:val="00F4383D"/>
    <w:rsid w:val="00F43988"/>
    <w:rsid w:val="00F43D58"/>
    <w:rsid w:val="00F445A1"/>
    <w:rsid w:val="00F44B75"/>
    <w:rsid w:val="00F45425"/>
    <w:rsid w:val="00F457C5"/>
    <w:rsid w:val="00F45ADA"/>
    <w:rsid w:val="00F4720D"/>
    <w:rsid w:val="00F477C8"/>
    <w:rsid w:val="00F50E33"/>
    <w:rsid w:val="00F517C3"/>
    <w:rsid w:val="00F51DD2"/>
    <w:rsid w:val="00F54027"/>
    <w:rsid w:val="00F543ED"/>
    <w:rsid w:val="00F548E1"/>
    <w:rsid w:val="00F54AF9"/>
    <w:rsid w:val="00F54B30"/>
    <w:rsid w:val="00F54B82"/>
    <w:rsid w:val="00F5548E"/>
    <w:rsid w:val="00F5551A"/>
    <w:rsid w:val="00F57627"/>
    <w:rsid w:val="00F5770D"/>
    <w:rsid w:val="00F57981"/>
    <w:rsid w:val="00F6016A"/>
    <w:rsid w:val="00F60377"/>
    <w:rsid w:val="00F604E2"/>
    <w:rsid w:val="00F6079E"/>
    <w:rsid w:val="00F61F30"/>
    <w:rsid w:val="00F632CE"/>
    <w:rsid w:val="00F641DF"/>
    <w:rsid w:val="00F64AEE"/>
    <w:rsid w:val="00F6539B"/>
    <w:rsid w:val="00F6543A"/>
    <w:rsid w:val="00F66997"/>
    <w:rsid w:val="00F66CB6"/>
    <w:rsid w:val="00F67232"/>
    <w:rsid w:val="00F6737E"/>
    <w:rsid w:val="00F67FAA"/>
    <w:rsid w:val="00F70849"/>
    <w:rsid w:val="00F70865"/>
    <w:rsid w:val="00F72FE2"/>
    <w:rsid w:val="00F73302"/>
    <w:rsid w:val="00F7348D"/>
    <w:rsid w:val="00F7365E"/>
    <w:rsid w:val="00F73911"/>
    <w:rsid w:val="00F74371"/>
    <w:rsid w:val="00F7449D"/>
    <w:rsid w:val="00F7450F"/>
    <w:rsid w:val="00F7457D"/>
    <w:rsid w:val="00F746BC"/>
    <w:rsid w:val="00F759C9"/>
    <w:rsid w:val="00F75D95"/>
    <w:rsid w:val="00F75F2B"/>
    <w:rsid w:val="00F76282"/>
    <w:rsid w:val="00F765B4"/>
    <w:rsid w:val="00F768D8"/>
    <w:rsid w:val="00F76CB3"/>
    <w:rsid w:val="00F77A84"/>
    <w:rsid w:val="00F77EF1"/>
    <w:rsid w:val="00F808AB"/>
    <w:rsid w:val="00F82061"/>
    <w:rsid w:val="00F82482"/>
    <w:rsid w:val="00F82EEB"/>
    <w:rsid w:val="00F84526"/>
    <w:rsid w:val="00F84AB9"/>
    <w:rsid w:val="00F84D89"/>
    <w:rsid w:val="00F85847"/>
    <w:rsid w:val="00F85B77"/>
    <w:rsid w:val="00F86B68"/>
    <w:rsid w:val="00F904D3"/>
    <w:rsid w:val="00F90ED5"/>
    <w:rsid w:val="00F9156A"/>
    <w:rsid w:val="00F91F4E"/>
    <w:rsid w:val="00F9329D"/>
    <w:rsid w:val="00F93E89"/>
    <w:rsid w:val="00F9474D"/>
    <w:rsid w:val="00F94E46"/>
    <w:rsid w:val="00F94F2E"/>
    <w:rsid w:val="00F96A2B"/>
    <w:rsid w:val="00FA1591"/>
    <w:rsid w:val="00FA186C"/>
    <w:rsid w:val="00FA1C83"/>
    <w:rsid w:val="00FA29A4"/>
    <w:rsid w:val="00FA4308"/>
    <w:rsid w:val="00FA4963"/>
    <w:rsid w:val="00FA616F"/>
    <w:rsid w:val="00FA6A1E"/>
    <w:rsid w:val="00FA6CA4"/>
    <w:rsid w:val="00FA7CD6"/>
    <w:rsid w:val="00FB002D"/>
    <w:rsid w:val="00FB281A"/>
    <w:rsid w:val="00FB3BD3"/>
    <w:rsid w:val="00FB476A"/>
    <w:rsid w:val="00FB4779"/>
    <w:rsid w:val="00FB4C80"/>
    <w:rsid w:val="00FB4E24"/>
    <w:rsid w:val="00FB652B"/>
    <w:rsid w:val="00FB7991"/>
    <w:rsid w:val="00FB7FDD"/>
    <w:rsid w:val="00FC012A"/>
    <w:rsid w:val="00FC1532"/>
    <w:rsid w:val="00FC2260"/>
    <w:rsid w:val="00FC2D5B"/>
    <w:rsid w:val="00FC3098"/>
    <w:rsid w:val="00FC4A08"/>
    <w:rsid w:val="00FC6377"/>
    <w:rsid w:val="00FC6D89"/>
    <w:rsid w:val="00FC7D70"/>
    <w:rsid w:val="00FD1F98"/>
    <w:rsid w:val="00FD2761"/>
    <w:rsid w:val="00FD32DB"/>
    <w:rsid w:val="00FD41DE"/>
    <w:rsid w:val="00FD5944"/>
    <w:rsid w:val="00FD5B20"/>
    <w:rsid w:val="00FD5D59"/>
    <w:rsid w:val="00FD718E"/>
    <w:rsid w:val="00FD75C6"/>
    <w:rsid w:val="00FD78AB"/>
    <w:rsid w:val="00FE05FE"/>
    <w:rsid w:val="00FE2410"/>
    <w:rsid w:val="00FE246B"/>
    <w:rsid w:val="00FE2F61"/>
    <w:rsid w:val="00FE310B"/>
    <w:rsid w:val="00FE4975"/>
    <w:rsid w:val="00FE4CB3"/>
    <w:rsid w:val="00FE4D7B"/>
    <w:rsid w:val="00FE4DFC"/>
    <w:rsid w:val="00FE585B"/>
    <w:rsid w:val="00FE5914"/>
    <w:rsid w:val="00FE6857"/>
    <w:rsid w:val="00FE79F8"/>
    <w:rsid w:val="00FF03E9"/>
    <w:rsid w:val="00FF064E"/>
    <w:rsid w:val="00FF0BB1"/>
    <w:rsid w:val="00FF172E"/>
    <w:rsid w:val="00FF3366"/>
    <w:rsid w:val="00FF36C3"/>
    <w:rsid w:val="00FF3A48"/>
    <w:rsid w:val="00FF3CA8"/>
    <w:rsid w:val="00FF4308"/>
    <w:rsid w:val="00FF4619"/>
    <w:rsid w:val="00FF5D9F"/>
    <w:rsid w:val="00FF6835"/>
    <w:rsid w:val="00FF7359"/>
    <w:rsid w:val="00FF75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E54AD2"/>
  <w15:chartTrackingRefBased/>
  <w15:docId w15:val="{4AFD4F42-9139-4243-BFA2-33E68052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402"/>
    <w:pPr>
      <w:spacing w:after="200" w:line="276" w:lineRule="auto"/>
    </w:pPr>
    <w:rPr>
      <w:sz w:val="22"/>
      <w:szCs w:val="22"/>
      <w:lang w:val="es-CO" w:eastAsia="en-US"/>
    </w:rPr>
  </w:style>
  <w:style w:type="paragraph" w:styleId="Ttulo1">
    <w:name w:val="heading 1"/>
    <w:basedOn w:val="Normal"/>
    <w:next w:val="Normal"/>
    <w:link w:val="Ttulo1Car"/>
    <w:uiPriority w:val="9"/>
    <w:qFormat/>
    <w:rsid w:val="00B70308"/>
    <w:pPr>
      <w:keepNext/>
      <w:keepLines/>
      <w:numPr>
        <w:numId w:val="15"/>
      </w:numPr>
      <w:spacing w:before="240" w:after="0"/>
      <w:outlineLvl w:val="0"/>
    </w:pPr>
    <w:rPr>
      <w:rFonts w:ascii="Arial" w:eastAsiaTheme="majorEastAsia" w:hAnsi="Arial" w:cstheme="majorBidi"/>
      <w:b/>
      <w:szCs w:val="32"/>
    </w:rPr>
  </w:style>
  <w:style w:type="paragraph" w:styleId="Ttulo2">
    <w:name w:val="heading 2"/>
    <w:basedOn w:val="Normal"/>
    <w:next w:val="Normal"/>
    <w:link w:val="Ttulo2Car"/>
    <w:uiPriority w:val="9"/>
    <w:unhideWhenUsed/>
    <w:qFormat/>
    <w:rsid w:val="002140DD"/>
    <w:pPr>
      <w:keepNext/>
      <w:keepLines/>
      <w:numPr>
        <w:ilvl w:val="1"/>
        <w:numId w:val="15"/>
      </w:numPr>
      <w:spacing w:before="40" w:after="0"/>
      <w:outlineLvl w:val="1"/>
    </w:pPr>
    <w:rPr>
      <w:rFonts w:ascii="Arial" w:eastAsiaTheme="majorEastAsia" w:hAnsi="Arial" w:cstheme="majorBidi"/>
      <w:b/>
      <w:color w:val="000000" w:themeColor="text1"/>
      <w:szCs w:val="26"/>
    </w:rPr>
  </w:style>
  <w:style w:type="paragraph" w:styleId="Ttulo3">
    <w:name w:val="heading 3"/>
    <w:basedOn w:val="Normal"/>
    <w:next w:val="Normal"/>
    <w:link w:val="Ttulo3Car"/>
    <w:uiPriority w:val="9"/>
    <w:unhideWhenUsed/>
    <w:qFormat/>
    <w:rsid w:val="007A4D56"/>
    <w:pPr>
      <w:keepNext/>
      <w:keepLines/>
      <w:numPr>
        <w:ilvl w:val="2"/>
        <w:numId w:val="15"/>
      </w:numPr>
      <w:spacing w:before="40" w:after="0"/>
      <w:outlineLvl w:val="2"/>
    </w:pPr>
    <w:rPr>
      <w:rFonts w:ascii="Arial" w:eastAsiaTheme="majorEastAsia" w:hAnsi="Arial" w:cstheme="majorBidi"/>
      <w:b/>
      <w:szCs w:val="24"/>
    </w:rPr>
  </w:style>
  <w:style w:type="paragraph" w:styleId="Ttulo4">
    <w:name w:val="heading 4"/>
    <w:basedOn w:val="Normal"/>
    <w:next w:val="Normal"/>
    <w:link w:val="Ttulo4Car"/>
    <w:uiPriority w:val="9"/>
    <w:semiHidden/>
    <w:unhideWhenUsed/>
    <w:qFormat/>
    <w:rsid w:val="002140DD"/>
    <w:pPr>
      <w:keepNext/>
      <w:keepLines/>
      <w:numPr>
        <w:ilvl w:val="3"/>
        <w:numId w:val="15"/>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2140DD"/>
    <w:pPr>
      <w:keepNext/>
      <w:keepLines/>
      <w:numPr>
        <w:ilvl w:val="4"/>
        <w:numId w:val="15"/>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2140DD"/>
    <w:pPr>
      <w:keepNext/>
      <w:keepLines/>
      <w:numPr>
        <w:ilvl w:val="5"/>
        <w:numId w:val="15"/>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2140DD"/>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2140DD"/>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140DD"/>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3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839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3927"/>
  </w:style>
  <w:style w:type="paragraph" w:styleId="Piedepgina">
    <w:name w:val="footer"/>
    <w:basedOn w:val="Normal"/>
    <w:link w:val="PiedepginaCar"/>
    <w:uiPriority w:val="99"/>
    <w:unhideWhenUsed/>
    <w:rsid w:val="00E839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3927"/>
  </w:style>
  <w:style w:type="paragraph" w:styleId="Textodeglobo">
    <w:name w:val="Balloon Text"/>
    <w:basedOn w:val="Normal"/>
    <w:link w:val="TextodegloboCar"/>
    <w:uiPriority w:val="99"/>
    <w:semiHidden/>
    <w:unhideWhenUsed/>
    <w:rsid w:val="00E8392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83927"/>
    <w:rPr>
      <w:rFonts w:ascii="Tahoma" w:hAnsi="Tahoma" w:cs="Tahoma"/>
      <w:sz w:val="16"/>
      <w:szCs w:val="16"/>
    </w:rPr>
  </w:style>
  <w:style w:type="character" w:customStyle="1" w:styleId="span2">
    <w:name w:val="span2"/>
    <w:rsid w:val="00AC6FDE"/>
    <w:rPr>
      <w:sz w:val="18"/>
      <w:szCs w:val="18"/>
    </w:rPr>
  </w:style>
  <w:style w:type="table" w:styleId="Sombreadoclaro-nfasis2">
    <w:name w:val="Light Shading Accent 2"/>
    <w:basedOn w:val="Tablanormal"/>
    <w:uiPriority w:val="60"/>
    <w:rsid w:val="00595E4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Prrafodelista">
    <w:name w:val="List Paragraph"/>
    <w:aliases w:val="titulo 3,HOJA,Bolita,MIBEX B,Párrafo de lista4,BOLADEF,Párrafo de lista3,Párrafo de lista21,BOLA,Nivel 1 OS,Colorful List Accent 1,Segundo nivel de viñetas,List Paragraph1,List Paragraph"/>
    <w:basedOn w:val="Normal"/>
    <w:link w:val="PrrafodelistaCar"/>
    <w:uiPriority w:val="34"/>
    <w:qFormat/>
    <w:rsid w:val="004C0AE6"/>
    <w:pPr>
      <w:ind w:left="720"/>
      <w:contextualSpacing/>
    </w:pPr>
  </w:style>
  <w:style w:type="paragraph" w:styleId="NormalWeb">
    <w:name w:val="Normal (Web)"/>
    <w:basedOn w:val="Normal"/>
    <w:uiPriority w:val="99"/>
    <w:semiHidden/>
    <w:unhideWhenUsed/>
    <w:rsid w:val="00FE2410"/>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Default">
    <w:name w:val="Default"/>
    <w:rsid w:val="00B71C8B"/>
    <w:pPr>
      <w:autoSpaceDE w:val="0"/>
      <w:autoSpaceDN w:val="0"/>
      <w:adjustRightInd w:val="0"/>
    </w:pPr>
    <w:rPr>
      <w:rFonts w:ascii="Arial" w:hAnsi="Arial" w:cs="Arial"/>
      <w:color w:val="000000"/>
      <w:sz w:val="24"/>
      <w:szCs w:val="24"/>
      <w:lang w:val="es-CO" w:eastAsia="es-CO"/>
    </w:rPr>
  </w:style>
  <w:style w:type="character" w:styleId="Hipervnculo">
    <w:name w:val="Hyperlink"/>
    <w:uiPriority w:val="99"/>
    <w:unhideWhenUsed/>
    <w:rsid w:val="00014314"/>
    <w:rPr>
      <w:color w:val="0563C1"/>
      <w:u w:val="single"/>
    </w:rPr>
  </w:style>
  <w:style w:type="character" w:customStyle="1" w:styleId="apple-converted-space">
    <w:name w:val="apple-converted-space"/>
    <w:rsid w:val="005E5E61"/>
  </w:style>
  <w:style w:type="character" w:customStyle="1" w:styleId="Mencionar1">
    <w:name w:val="Mencionar1"/>
    <w:uiPriority w:val="99"/>
    <w:semiHidden/>
    <w:unhideWhenUsed/>
    <w:rsid w:val="00E0768A"/>
    <w:rPr>
      <w:color w:val="2B579A"/>
      <w:shd w:val="clear" w:color="auto" w:fill="E6E6E6"/>
    </w:rPr>
  </w:style>
  <w:style w:type="character" w:styleId="Refdecomentario">
    <w:name w:val="annotation reference"/>
    <w:basedOn w:val="Fuentedeprrafopredeter"/>
    <w:uiPriority w:val="99"/>
    <w:semiHidden/>
    <w:unhideWhenUsed/>
    <w:rsid w:val="00502014"/>
    <w:rPr>
      <w:sz w:val="16"/>
      <w:szCs w:val="16"/>
    </w:rPr>
  </w:style>
  <w:style w:type="paragraph" w:styleId="Textocomentario">
    <w:name w:val="annotation text"/>
    <w:basedOn w:val="Normal"/>
    <w:link w:val="TextocomentarioCar"/>
    <w:uiPriority w:val="99"/>
    <w:semiHidden/>
    <w:unhideWhenUsed/>
    <w:rsid w:val="005020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2014"/>
    <w:rPr>
      <w:lang w:val="es-CO" w:eastAsia="en-US"/>
    </w:rPr>
  </w:style>
  <w:style w:type="paragraph" w:styleId="Asuntodelcomentario">
    <w:name w:val="annotation subject"/>
    <w:basedOn w:val="Textocomentario"/>
    <w:next w:val="Textocomentario"/>
    <w:link w:val="AsuntodelcomentarioCar"/>
    <w:uiPriority w:val="99"/>
    <w:semiHidden/>
    <w:unhideWhenUsed/>
    <w:rsid w:val="00502014"/>
    <w:rPr>
      <w:b/>
      <w:bCs/>
    </w:rPr>
  </w:style>
  <w:style w:type="character" w:customStyle="1" w:styleId="AsuntodelcomentarioCar">
    <w:name w:val="Asunto del comentario Car"/>
    <w:basedOn w:val="TextocomentarioCar"/>
    <w:link w:val="Asuntodelcomentario"/>
    <w:uiPriority w:val="99"/>
    <w:semiHidden/>
    <w:rsid w:val="00502014"/>
    <w:rPr>
      <w:b/>
      <w:bCs/>
      <w:lang w:val="es-CO" w:eastAsia="en-US"/>
    </w:rPr>
  </w:style>
  <w:style w:type="character" w:customStyle="1" w:styleId="Ttulo1Car">
    <w:name w:val="Título 1 Car"/>
    <w:basedOn w:val="Fuentedeprrafopredeter"/>
    <w:link w:val="Ttulo1"/>
    <w:uiPriority w:val="9"/>
    <w:rsid w:val="00B70308"/>
    <w:rPr>
      <w:rFonts w:ascii="Arial" w:eastAsiaTheme="majorEastAsia" w:hAnsi="Arial" w:cstheme="majorBidi"/>
      <w:b/>
      <w:sz w:val="22"/>
      <w:szCs w:val="32"/>
      <w:lang w:val="es-CO" w:eastAsia="en-US"/>
    </w:rPr>
  </w:style>
  <w:style w:type="paragraph" w:styleId="Textonotapie">
    <w:name w:val="footnote text"/>
    <w:basedOn w:val="Normal"/>
    <w:link w:val="TextonotapieCar"/>
    <w:uiPriority w:val="99"/>
    <w:semiHidden/>
    <w:unhideWhenUsed/>
    <w:rsid w:val="004F17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F17E1"/>
    <w:rPr>
      <w:lang w:val="es-CO" w:eastAsia="en-US"/>
    </w:rPr>
  </w:style>
  <w:style w:type="character" w:styleId="Refdenotaalpie">
    <w:name w:val="footnote reference"/>
    <w:basedOn w:val="Fuentedeprrafopredeter"/>
    <w:uiPriority w:val="99"/>
    <w:semiHidden/>
    <w:unhideWhenUsed/>
    <w:rsid w:val="004F17E1"/>
    <w:rPr>
      <w:vertAlign w:val="superscript"/>
    </w:rPr>
  </w:style>
  <w:style w:type="table" w:styleId="Tabladelista4-nfasis3">
    <w:name w:val="List Table 4 Accent 3"/>
    <w:basedOn w:val="Tablanormal"/>
    <w:uiPriority w:val="49"/>
    <w:rsid w:val="005B6CF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3-nfasis1">
    <w:name w:val="List Table 3 Accent 1"/>
    <w:basedOn w:val="Tablanormal"/>
    <w:uiPriority w:val="48"/>
    <w:rsid w:val="009C5710"/>
    <w:rPr>
      <w:rFonts w:ascii="Arial" w:hAnsi="Arial"/>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cPr>
      <w:vAlign w:val="center"/>
    </w:tc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3">
    <w:name w:val="List Table 3 Accent 3"/>
    <w:basedOn w:val="Tablanormal"/>
    <w:uiPriority w:val="48"/>
    <w:rsid w:val="00D2203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PrrafodelistaCar">
    <w:name w:val="Párrafo de lista Car"/>
    <w:aliases w:val="titulo 3 Car,HOJA Car,Bolita Car,MIBEX B Car,Párrafo de lista4 Car,BOLADEF Car,Párrafo de lista3 Car,Párrafo de lista21 Car,BOLA Car,Nivel 1 OS Car,Colorful List Accent 1 Car,Segundo nivel de viñetas Car,List Paragraph1 Car"/>
    <w:link w:val="Prrafodelista"/>
    <w:uiPriority w:val="34"/>
    <w:locked/>
    <w:rsid w:val="00956837"/>
    <w:rPr>
      <w:sz w:val="22"/>
      <w:szCs w:val="22"/>
      <w:lang w:val="es-CO" w:eastAsia="en-US"/>
    </w:rPr>
  </w:style>
  <w:style w:type="character" w:styleId="Textoennegrita">
    <w:name w:val="Strong"/>
    <w:basedOn w:val="Fuentedeprrafopredeter"/>
    <w:uiPriority w:val="22"/>
    <w:qFormat/>
    <w:rsid w:val="00821173"/>
    <w:rPr>
      <w:b/>
      <w:bCs/>
    </w:rPr>
  </w:style>
  <w:style w:type="character" w:styleId="nfasis">
    <w:name w:val="Emphasis"/>
    <w:basedOn w:val="Fuentedeprrafopredeter"/>
    <w:uiPriority w:val="20"/>
    <w:qFormat/>
    <w:rsid w:val="00821173"/>
    <w:rPr>
      <w:i/>
      <w:iCs/>
    </w:rPr>
  </w:style>
  <w:style w:type="character" w:customStyle="1" w:styleId="baj">
    <w:name w:val="b_aj"/>
    <w:basedOn w:val="Fuentedeprrafopredeter"/>
    <w:rsid w:val="006855D8"/>
  </w:style>
  <w:style w:type="character" w:customStyle="1" w:styleId="Ttulo2Car">
    <w:name w:val="Título 2 Car"/>
    <w:basedOn w:val="Fuentedeprrafopredeter"/>
    <w:link w:val="Ttulo2"/>
    <w:uiPriority w:val="9"/>
    <w:rsid w:val="002140DD"/>
    <w:rPr>
      <w:rFonts w:ascii="Arial" w:eastAsiaTheme="majorEastAsia" w:hAnsi="Arial" w:cstheme="majorBidi"/>
      <w:b/>
      <w:color w:val="000000" w:themeColor="text1"/>
      <w:sz w:val="22"/>
      <w:szCs w:val="26"/>
      <w:lang w:val="es-CO" w:eastAsia="en-US"/>
    </w:rPr>
  </w:style>
  <w:style w:type="character" w:customStyle="1" w:styleId="Ttulo3Car">
    <w:name w:val="Título 3 Car"/>
    <w:basedOn w:val="Fuentedeprrafopredeter"/>
    <w:link w:val="Ttulo3"/>
    <w:uiPriority w:val="9"/>
    <w:rsid w:val="007A4D56"/>
    <w:rPr>
      <w:rFonts w:ascii="Arial" w:eastAsiaTheme="majorEastAsia" w:hAnsi="Arial" w:cstheme="majorBidi"/>
      <w:b/>
      <w:sz w:val="22"/>
      <w:szCs w:val="24"/>
      <w:lang w:val="es-CO" w:eastAsia="en-US"/>
    </w:rPr>
  </w:style>
  <w:style w:type="character" w:customStyle="1" w:styleId="Ttulo4Car">
    <w:name w:val="Título 4 Car"/>
    <w:basedOn w:val="Fuentedeprrafopredeter"/>
    <w:link w:val="Ttulo4"/>
    <w:uiPriority w:val="9"/>
    <w:semiHidden/>
    <w:rsid w:val="002140DD"/>
    <w:rPr>
      <w:rFonts w:asciiTheme="majorHAnsi" w:eastAsiaTheme="majorEastAsia" w:hAnsiTheme="majorHAnsi" w:cstheme="majorBidi"/>
      <w:i/>
      <w:iCs/>
      <w:color w:val="2E74B5" w:themeColor="accent1" w:themeShade="BF"/>
      <w:sz w:val="22"/>
      <w:szCs w:val="22"/>
      <w:lang w:val="es-CO" w:eastAsia="en-US"/>
    </w:rPr>
  </w:style>
  <w:style w:type="character" w:customStyle="1" w:styleId="Ttulo5Car">
    <w:name w:val="Título 5 Car"/>
    <w:basedOn w:val="Fuentedeprrafopredeter"/>
    <w:link w:val="Ttulo5"/>
    <w:uiPriority w:val="9"/>
    <w:semiHidden/>
    <w:rsid w:val="002140DD"/>
    <w:rPr>
      <w:rFonts w:asciiTheme="majorHAnsi" w:eastAsiaTheme="majorEastAsia" w:hAnsiTheme="majorHAnsi" w:cstheme="majorBidi"/>
      <w:color w:val="2E74B5" w:themeColor="accent1" w:themeShade="BF"/>
      <w:sz w:val="22"/>
      <w:szCs w:val="22"/>
      <w:lang w:val="es-CO" w:eastAsia="en-US"/>
    </w:rPr>
  </w:style>
  <w:style w:type="character" w:customStyle="1" w:styleId="Ttulo6Car">
    <w:name w:val="Título 6 Car"/>
    <w:basedOn w:val="Fuentedeprrafopredeter"/>
    <w:link w:val="Ttulo6"/>
    <w:uiPriority w:val="9"/>
    <w:semiHidden/>
    <w:rsid w:val="002140DD"/>
    <w:rPr>
      <w:rFonts w:asciiTheme="majorHAnsi" w:eastAsiaTheme="majorEastAsia" w:hAnsiTheme="majorHAnsi" w:cstheme="majorBidi"/>
      <w:color w:val="1F4D78" w:themeColor="accent1" w:themeShade="7F"/>
      <w:sz w:val="22"/>
      <w:szCs w:val="22"/>
      <w:lang w:val="es-CO" w:eastAsia="en-US"/>
    </w:rPr>
  </w:style>
  <w:style w:type="character" w:customStyle="1" w:styleId="Ttulo7Car">
    <w:name w:val="Título 7 Car"/>
    <w:basedOn w:val="Fuentedeprrafopredeter"/>
    <w:link w:val="Ttulo7"/>
    <w:uiPriority w:val="9"/>
    <w:semiHidden/>
    <w:rsid w:val="002140DD"/>
    <w:rPr>
      <w:rFonts w:asciiTheme="majorHAnsi" w:eastAsiaTheme="majorEastAsia" w:hAnsiTheme="majorHAnsi" w:cstheme="majorBidi"/>
      <w:i/>
      <w:iCs/>
      <w:color w:val="1F4D78" w:themeColor="accent1" w:themeShade="7F"/>
      <w:sz w:val="22"/>
      <w:szCs w:val="22"/>
      <w:lang w:val="es-CO" w:eastAsia="en-US"/>
    </w:rPr>
  </w:style>
  <w:style w:type="character" w:customStyle="1" w:styleId="Ttulo8Car">
    <w:name w:val="Título 8 Car"/>
    <w:basedOn w:val="Fuentedeprrafopredeter"/>
    <w:link w:val="Ttulo8"/>
    <w:uiPriority w:val="9"/>
    <w:semiHidden/>
    <w:rsid w:val="002140DD"/>
    <w:rPr>
      <w:rFonts w:asciiTheme="majorHAnsi" w:eastAsiaTheme="majorEastAsia" w:hAnsiTheme="majorHAnsi" w:cstheme="majorBidi"/>
      <w:color w:val="272727" w:themeColor="text1" w:themeTint="D8"/>
      <w:sz w:val="21"/>
      <w:szCs w:val="21"/>
      <w:lang w:val="es-CO" w:eastAsia="en-US"/>
    </w:rPr>
  </w:style>
  <w:style w:type="character" w:customStyle="1" w:styleId="Ttulo9Car">
    <w:name w:val="Título 9 Car"/>
    <w:basedOn w:val="Fuentedeprrafopredeter"/>
    <w:link w:val="Ttulo9"/>
    <w:uiPriority w:val="9"/>
    <w:semiHidden/>
    <w:rsid w:val="002140DD"/>
    <w:rPr>
      <w:rFonts w:asciiTheme="majorHAnsi" w:eastAsiaTheme="majorEastAsia" w:hAnsiTheme="majorHAnsi" w:cstheme="majorBidi"/>
      <w:i/>
      <w:iCs/>
      <w:color w:val="272727" w:themeColor="text1" w:themeTint="D8"/>
      <w:sz w:val="21"/>
      <w:szCs w:val="21"/>
      <w:lang w:val="es-CO" w:eastAsia="en-US"/>
    </w:rPr>
  </w:style>
  <w:style w:type="paragraph" w:styleId="Descripcin">
    <w:name w:val="caption"/>
    <w:basedOn w:val="Normal"/>
    <w:next w:val="Normal"/>
    <w:uiPriority w:val="35"/>
    <w:unhideWhenUsed/>
    <w:qFormat/>
    <w:rsid w:val="0082695C"/>
    <w:pPr>
      <w:spacing w:line="240" w:lineRule="auto"/>
    </w:pPr>
    <w:rPr>
      <w:i/>
      <w:iCs/>
      <w:color w:val="44546A" w:themeColor="text2"/>
      <w:sz w:val="18"/>
      <w:szCs w:val="18"/>
    </w:rPr>
  </w:style>
  <w:style w:type="paragraph" w:styleId="Textonotaalfinal">
    <w:name w:val="endnote text"/>
    <w:basedOn w:val="Normal"/>
    <w:link w:val="TextonotaalfinalCar"/>
    <w:uiPriority w:val="99"/>
    <w:semiHidden/>
    <w:unhideWhenUsed/>
    <w:rsid w:val="00E423B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423B7"/>
    <w:rPr>
      <w:lang w:val="es-CO" w:eastAsia="en-US"/>
    </w:rPr>
  </w:style>
  <w:style w:type="character" w:styleId="Refdenotaalfinal">
    <w:name w:val="endnote reference"/>
    <w:basedOn w:val="Fuentedeprrafopredeter"/>
    <w:uiPriority w:val="99"/>
    <w:semiHidden/>
    <w:unhideWhenUsed/>
    <w:rsid w:val="00E423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711">
      <w:bodyDiv w:val="1"/>
      <w:marLeft w:val="0"/>
      <w:marRight w:val="0"/>
      <w:marTop w:val="0"/>
      <w:marBottom w:val="0"/>
      <w:divBdr>
        <w:top w:val="none" w:sz="0" w:space="0" w:color="auto"/>
        <w:left w:val="none" w:sz="0" w:space="0" w:color="auto"/>
        <w:bottom w:val="none" w:sz="0" w:space="0" w:color="auto"/>
        <w:right w:val="none" w:sz="0" w:space="0" w:color="auto"/>
      </w:divBdr>
    </w:div>
    <w:div w:id="17390219">
      <w:bodyDiv w:val="1"/>
      <w:marLeft w:val="0"/>
      <w:marRight w:val="0"/>
      <w:marTop w:val="0"/>
      <w:marBottom w:val="0"/>
      <w:divBdr>
        <w:top w:val="none" w:sz="0" w:space="0" w:color="auto"/>
        <w:left w:val="none" w:sz="0" w:space="0" w:color="auto"/>
        <w:bottom w:val="none" w:sz="0" w:space="0" w:color="auto"/>
        <w:right w:val="none" w:sz="0" w:space="0" w:color="auto"/>
      </w:divBdr>
    </w:div>
    <w:div w:id="85228258">
      <w:bodyDiv w:val="1"/>
      <w:marLeft w:val="0"/>
      <w:marRight w:val="0"/>
      <w:marTop w:val="0"/>
      <w:marBottom w:val="0"/>
      <w:divBdr>
        <w:top w:val="none" w:sz="0" w:space="0" w:color="auto"/>
        <w:left w:val="none" w:sz="0" w:space="0" w:color="auto"/>
        <w:bottom w:val="none" w:sz="0" w:space="0" w:color="auto"/>
        <w:right w:val="none" w:sz="0" w:space="0" w:color="auto"/>
      </w:divBdr>
      <w:divsChild>
        <w:div w:id="1153565506">
          <w:marLeft w:val="0"/>
          <w:marRight w:val="0"/>
          <w:marTop w:val="0"/>
          <w:marBottom w:val="0"/>
          <w:divBdr>
            <w:top w:val="none" w:sz="0" w:space="0" w:color="auto"/>
            <w:left w:val="none" w:sz="0" w:space="0" w:color="auto"/>
            <w:bottom w:val="none" w:sz="0" w:space="0" w:color="auto"/>
            <w:right w:val="none" w:sz="0" w:space="0" w:color="auto"/>
          </w:divBdr>
          <w:divsChild>
            <w:div w:id="1014922290">
              <w:marLeft w:val="20"/>
              <w:marRight w:val="0"/>
              <w:marTop w:val="0"/>
              <w:marBottom w:val="0"/>
              <w:divBdr>
                <w:top w:val="none" w:sz="0" w:space="0" w:color="auto"/>
                <w:left w:val="none" w:sz="0" w:space="0" w:color="auto"/>
                <w:bottom w:val="none" w:sz="0" w:space="0" w:color="auto"/>
                <w:right w:val="none" w:sz="0" w:space="0" w:color="auto"/>
              </w:divBdr>
              <w:divsChild>
                <w:div w:id="1179270677">
                  <w:marLeft w:val="0"/>
                  <w:marRight w:val="0"/>
                  <w:marTop w:val="0"/>
                  <w:marBottom w:val="0"/>
                  <w:divBdr>
                    <w:top w:val="none" w:sz="0" w:space="0" w:color="auto"/>
                    <w:left w:val="none" w:sz="0" w:space="0" w:color="auto"/>
                    <w:bottom w:val="none" w:sz="0" w:space="0" w:color="auto"/>
                    <w:right w:val="none" w:sz="0" w:space="0" w:color="auto"/>
                  </w:divBdr>
                  <w:divsChild>
                    <w:div w:id="8395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34555">
      <w:bodyDiv w:val="1"/>
      <w:marLeft w:val="0"/>
      <w:marRight w:val="0"/>
      <w:marTop w:val="0"/>
      <w:marBottom w:val="0"/>
      <w:divBdr>
        <w:top w:val="none" w:sz="0" w:space="0" w:color="auto"/>
        <w:left w:val="none" w:sz="0" w:space="0" w:color="auto"/>
        <w:bottom w:val="none" w:sz="0" w:space="0" w:color="auto"/>
        <w:right w:val="none" w:sz="0" w:space="0" w:color="auto"/>
      </w:divBdr>
    </w:div>
    <w:div w:id="175387293">
      <w:bodyDiv w:val="1"/>
      <w:marLeft w:val="0"/>
      <w:marRight w:val="0"/>
      <w:marTop w:val="0"/>
      <w:marBottom w:val="0"/>
      <w:divBdr>
        <w:top w:val="none" w:sz="0" w:space="0" w:color="auto"/>
        <w:left w:val="none" w:sz="0" w:space="0" w:color="auto"/>
        <w:bottom w:val="none" w:sz="0" w:space="0" w:color="auto"/>
        <w:right w:val="none" w:sz="0" w:space="0" w:color="auto"/>
      </w:divBdr>
      <w:divsChild>
        <w:div w:id="530191121">
          <w:marLeft w:val="0"/>
          <w:marRight w:val="0"/>
          <w:marTop w:val="0"/>
          <w:marBottom w:val="0"/>
          <w:divBdr>
            <w:top w:val="none" w:sz="0" w:space="0" w:color="auto"/>
            <w:left w:val="none" w:sz="0" w:space="0" w:color="auto"/>
            <w:bottom w:val="none" w:sz="0" w:space="0" w:color="auto"/>
            <w:right w:val="none" w:sz="0" w:space="0" w:color="auto"/>
          </w:divBdr>
          <w:divsChild>
            <w:div w:id="957179732">
              <w:marLeft w:val="20"/>
              <w:marRight w:val="0"/>
              <w:marTop w:val="0"/>
              <w:marBottom w:val="0"/>
              <w:divBdr>
                <w:top w:val="none" w:sz="0" w:space="0" w:color="auto"/>
                <w:left w:val="none" w:sz="0" w:space="0" w:color="auto"/>
                <w:bottom w:val="none" w:sz="0" w:space="0" w:color="auto"/>
                <w:right w:val="none" w:sz="0" w:space="0" w:color="auto"/>
              </w:divBdr>
              <w:divsChild>
                <w:div w:id="966348857">
                  <w:marLeft w:val="0"/>
                  <w:marRight w:val="0"/>
                  <w:marTop w:val="0"/>
                  <w:marBottom w:val="0"/>
                  <w:divBdr>
                    <w:top w:val="none" w:sz="0" w:space="0" w:color="auto"/>
                    <w:left w:val="none" w:sz="0" w:space="0" w:color="auto"/>
                    <w:bottom w:val="none" w:sz="0" w:space="0" w:color="auto"/>
                    <w:right w:val="none" w:sz="0" w:space="0" w:color="auto"/>
                  </w:divBdr>
                  <w:divsChild>
                    <w:div w:id="270666205">
                      <w:marLeft w:val="0"/>
                      <w:marRight w:val="0"/>
                      <w:marTop w:val="0"/>
                      <w:marBottom w:val="0"/>
                      <w:divBdr>
                        <w:top w:val="none" w:sz="0" w:space="0" w:color="auto"/>
                        <w:left w:val="none" w:sz="0" w:space="0" w:color="auto"/>
                        <w:bottom w:val="none" w:sz="0" w:space="0" w:color="auto"/>
                        <w:right w:val="none" w:sz="0" w:space="0" w:color="auto"/>
                      </w:divBdr>
                      <w:divsChild>
                        <w:div w:id="295524310">
                          <w:marLeft w:val="0"/>
                          <w:marRight w:val="0"/>
                          <w:marTop w:val="0"/>
                          <w:marBottom w:val="0"/>
                          <w:divBdr>
                            <w:top w:val="none" w:sz="0" w:space="0" w:color="auto"/>
                            <w:left w:val="none" w:sz="0" w:space="0" w:color="auto"/>
                            <w:bottom w:val="none" w:sz="0" w:space="0" w:color="auto"/>
                            <w:right w:val="none" w:sz="0" w:space="0" w:color="auto"/>
                          </w:divBdr>
                          <w:divsChild>
                            <w:div w:id="733815978">
                              <w:marLeft w:val="0"/>
                              <w:marRight w:val="0"/>
                              <w:marTop w:val="0"/>
                              <w:marBottom w:val="0"/>
                              <w:divBdr>
                                <w:top w:val="none" w:sz="0" w:space="0" w:color="auto"/>
                                <w:left w:val="none" w:sz="0" w:space="0" w:color="auto"/>
                                <w:bottom w:val="none" w:sz="0" w:space="0" w:color="auto"/>
                                <w:right w:val="none" w:sz="0" w:space="0" w:color="auto"/>
                              </w:divBdr>
                              <w:divsChild>
                                <w:div w:id="331178351">
                                  <w:marLeft w:val="0"/>
                                  <w:marRight w:val="0"/>
                                  <w:marTop w:val="0"/>
                                  <w:marBottom w:val="0"/>
                                  <w:divBdr>
                                    <w:top w:val="none" w:sz="0" w:space="0" w:color="auto"/>
                                    <w:left w:val="none" w:sz="0" w:space="0" w:color="auto"/>
                                    <w:bottom w:val="none" w:sz="0" w:space="0" w:color="auto"/>
                                    <w:right w:val="none" w:sz="0" w:space="0" w:color="auto"/>
                                  </w:divBdr>
                                  <w:divsChild>
                                    <w:div w:id="286662648">
                                      <w:marLeft w:val="0"/>
                                      <w:marRight w:val="0"/>
                                      <w:marTop w:val="0"/>
                                      <w:marBottom w:val="0"/>
                                      <w:divBdr>
                                        <w:top w:val="none" w:sz="0" w:space="0" w:color="auto"/>
                                        <w:left w:val="none" w:sz="0" w:space="0" w:color="auto"/>
                                        <w:bottom w:val="none" w:sz="0" w:space="0" w:color="auto"/>
                                        <w:right w:val="none" w:sz="0" w:space="0" w:color="auto"/>
                                      </w:divBdr>
                                      <w:divsChild>
                                        <w:div w:id="816729795">
                                          <w:marLeft w:val="0"/>
                                          <w:marRight w:val="0"/>
                                          <w:marTop w:val="0"/>
                                          <w:marBottom w:val="0"/>
                                          <w:divBdr>
                                            <w:top w:val="none" w:sz="0" w:space="0" w:color="auto"/>
                                            <w:left w:val="none" w:sz="0" w:space="0" w:color="auto"/>
                                            <w:bottom w:val="none" w:sz="0" w:space="0" w:color="auto"/>
                                            <w:right w:val="none" w:sz="0" w:space="0" w:color="auto"/>
                                          </w:divBdr>
                                          <w:divsChild>
                                            <w:div w:id="4705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0312205">
      <w:bodyDiv w:val="1"/>
      <w:marLeft w:val="0"/>
      <w:marRight w:val="0"/>
      <w:marTop w:val="0"/>
      <w:marBottom w:val="0"/>
      <w:divBdr>
        <w:top w:val="none" w:sz="0" w:space="0" w:color="auto"/>
        <w:left w:val="none" w:sz="0" w:space="0" w:color="auto"/>
        <w:bottom w:val="none" w:sz="0" w:space="0" w:color="auto"/>
        <w:right w:val="none" w:sz="0" w:space="0" w:color="auto"/>
      </w:divBdr>
    </w:div>
    <w:div w:id="230700817">
      <w:bodyDiv w:val="1"/>
      <w:marLeft w:val="0"/>
      <w:marRight w:val="0"/>
      <w:marTop w:val="0"/>
      <w:marBottom w:val="0"/>
      <w:divBdr>
        <w:top w:val="none" w:sz="0" w:space="0" w:color="auto"/>
        <w:left w:val="none" w:sz="0" w:space="0" w:color="auto"/>
        <w:bottom w:val="none" w:sz="0" w:space="0" w:color="auto"/>
        <w:right w:val="none" w:sz="0" w:space="0" w:color="auto"/>
      </w:divBdr>
    </w:div>
    <w:div w:id="251353709">
      <w:bodyDiv w:val="1"/>
      <w:marLeft w:val="0"/>
      <w:marRight w:val="0"/>
      <w:marTop w:val="0"/>
      <w:marBottom w:val="0"/>
      <w:divBdr>
        <w:top w:val="none" w:sz="0" w:space="0" w:color="auto"/>
        <w:left w:val="none" w:sz="0" w:space="0" w:color="auto"/>
        <w:bottom w:val="none" w:sz="0" w:space="0" w:color="auto"/>
        <w:right w:val="none" w:sz="0" w:space="0" w:color="auto"/>
      </w:divBdr>
    </w:div>
    <w:div w:id="276717148">
      <w:bodyDiv w:val="1"/>
      <w:marLeft w:val="0"/>
      <w:marRight w:val="0"/>
      <w:marTop w:val="0"/>
      <w:marBottom w:val="0"/>
      <w:divBdr>
        <w:top w:val="none" w:sz="0" w:space="0" w:color="auto"/>
        <w:left w:val="none" w:sz="0" w:space="0" w:color="auto"/>
        <w:bottom w:val="none" w:sz="0" w:space="0" w:color="auto"/>
        <w:right w:val="none" w:sz="0" w:space="0" w:color="auto"/>
      </w:divBdr>
      <w:divsChild>
        <w:div w:id="186453914">
          <w:marLeft w:val="0"/>
          <w:marRight w:val="0"/>
          <w:marTop w:val="0"/>
          <w:marBottom w:val="0"/>
          <w:divBdr>
            <w:top w:val="none" w:sz="0" w:space="0" w:color="auto"/>
            <w:left w:val="none" w:sz="0" w:space="0" w:color="auto"/>
            <w:bottom w:val="none" w:sz="0" w:space="0" w:color="auto"/>
            <w:right w:val="none" w:sz="0" w:space="0" w:color="auto"/>
          </w:divBdr>
          <w:divsChild>
            <w:div w:id="736635727">
              <w:marLeft w:val="20"/>
              <w:marRight w:val="0"/>
              <w:marTop w:val="0"/>
              <w:marBottom w:val="0"/>
              <w:divBdr>
                <w:top w:val="none" w:sz="0" w:space="0" w:color="auto"/>
                <w:left w:val="none" w:sz="0" w:space="0" w:color="auto"/>
                <w:bottom w:val="none" w:sz="0" w:space="0" w:color="auto"/>
                <w:right w:val="none" w:sz="0" w:space="0" w:color="auto"/>
              </w:divBdr>
              <w:divsChild>
                <w:div w:id="1256206444">
                  <w:marLeft w:val="0"/>
                  <w:marRight w:val="0"/>
                  <w:marTop w:val="0"/>
                  <w:marBottom w:val="0"/>
                  <w:divBdr>
                    <w:top w:val="none" w:sz="0" w:space="0" w:color="auto"/>
                    <w:left w:val="none" w:sz="0" w:space="0" w:color="auto"/>
                    <w:bottom w:val="none" w:sz="0" w:space="0" w:color="auto"/>
                    <w:right w:val="none" w:sz="0" w:space="0" w:color="auto"/>
                  </w:divBdr>
                  <w:divsChild>
                    <w:div w:id="185606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044527">
      <w:bodyDiv w:val="1"/>
      <w:marLeft w:val="0"/>
      <w:marRight w:val="0"/>
      <w:marTop w:val="0"/>
      <w:marBottom w:val="0"/>
      <w:divBdr>
        <w:top w:val="none" w:sz="0" w:space="0" w:color="auto"/>
        <w:left w:val="none" w:sz="0" w:space="0" w:color="auto"/>
        <w:bottom w:val="none" w:sz="0" w:space="0" w:color="auto"/>
        <w:right w:val="none" w:sz="0" w:space="0" w:color="auto"/>
      </w:divBdr>
    </w:div>
    <w:div w:id="312031798">
      <w:bodyDiv w:val="1"/>
      <w:marLeft w:val="0"/>
      <w:marRight w:val="0"/>
      <w:marTop w:val="0"/>
      <w:marBottom w:val="0"/>
      <w:divBdr>
        <w:top w:val="none" w:sz="0" w:space="0" w:color="auto"/>
        <w:left w:val="none" w:sz="0" w:space="0" w:color="auto"/>
        <w:bottom w:val="none" w:sz="0" w:space="0" w:color="auto"/>
        <w:right w:val="none" w:sz="0" w:space="0" w:color="auto"/>
      </w:divBdr>
    </w:div>
    <w:div w:id="320542281">
      <w:bodyDiv w:val="1"/>
      <w:marLeft w:val="0"/>
      <w:marRight w:val="0"/>
      <w:marTop w:val="0"/>
      <w:marBottom w:val="0"/>
      <w:divBdr>
        <w:top w:val="none" w:sz="0" w:space="0" w:color="auto"/>
        <w:left w:val="none" w:sz="0" w:space="0" w:color="auto"/>
        <w:bottom w:val="none" w:sz="0" w:space="0" w:color="auto"/>
        <w:right w:val="none" w:sz="0" w:space="0" w:color="auto"/>
      </w:divBdr>
    </w:div>
    <w:div w:id="327565884">
      <w:bodyDiv w:val="1"/>
      <w:marLeft w:val="0"/>
      <w:marRight w:val="0"/>
      <w:marTop w:val="0"/>
      <w:marBottom w:val="0"/>
      <w:divBdr>
        <w:top w:val="none" w:sz="0" w:space="0" w:color="auto"/>
        <w:left w:val="none" w:sz="0" w:space="0" w:color="auto"/>
        <w:bottom w:val="none" w:sz="0" w:space="0" w:color="auto"/>
        <w:right w:val="none" w:sz="0" w:space="0" w:color="auto"/>
      </w:divBdr>
    </w:div>
    <w:div w:id="336153589">
      <w:bodyDiv w:val="1"/>
      <w:marLeft w:val="0"/>
      <w:marRight w:val="0"/>
      <w:marTop w:val="0"/>
      <w:marBottom w:val="0"/>
      <w:divBdr>
        <w:top w:val="none" w:sz="0" w:space="0" w:color="auto"/>
        <w:left w:val="none" w:sz="0" w:space="0" w:color="auto"/>
        <w:bottom w:val="none" w:sz="0" w:space="0" w:color="auto"/>
        <w:right w:val="none" w:sz="0" w:space="0" w:color="auto"/>
      </w:divBdr>
    </w:div>
    <w:div w:id="373241064">
      <w:bodyDiv w:val="1"/>
      <w:marLeft w:val="0"/>
      <w:marRight w:val="0"/>
      <w:marTop w:val="0"/>
      <w:marBottom w:val="0"/>
      <w:divBdr>
        <w:top w:val="none" w:sz="0" w:space="0" w:color="auto"/>
        <w:left w:val="none" w:sz="0" w:space="0" w:color="auto"/>
        <w:bottom w:val="none" w:sz="0" w:space="0" w:color="auto"/>
        <w:right w:val="none" w:sz="0" w:space="0" w:color="auto"/>
      </w:divBdr>
    </w:div>
    <w:div w:id="400636976">
      <w:bodyDiv w:val="1"/>
      <w:marLeft w:val="0"/>
      <w:marRight w:val="0"/>
      <w:marTop w:val="0"/>
      <w:marBottom w:val="0"/>
      <w:divBdr>
        <w:top w:val="none" w:sz="0" w:space="0" w:color="auto"/>
        <w:left w:val="none" w:sz="0" w:space="0" w:color="auto"/>
        <w:bottom w:val="none" w:sz="0" w:space="0" w:color="auto"/>
        <w:right w:val="none" w:sz="0" w:space="0" w:color="auto"/>
      </w:divBdr>
    </w:div>
    <w:div w:id="413672393">
      <w:bodyDiv w:val="1"/>
      <w:marLeft w:val="0"/>
      <w:marRight w:val="0"/>
      <w:marTop w:val="0"/>
      <w:marBottom w:val="0"/>
      <w:divBdr>
        <w:top w:val="none" w:sz="0" w:space="0" w:color="auto"/>
        <w:left w:val="none" w:sz="0" w:space="0" w:color="auto"/>
        <w:bottom w:val="none" w:sz="0" w:space="0" w:color="auto"/>
        <w:right w:val="none" w:sz="0" w:space="0" w:color="auto"/>
      </w:divBdr>
    </w:div>
    <w:div w:id="414016118">
      <w:bodyDiv w:val="1"/>
      <w:marLeft w:val="0"/>
      <w:marRight w:val="0"/>
      <w:marTop w:val="0"/>
      <w:marBottom w:val="0"/>
      <w:divBdr>
        <w:top w:val="none" w:sz="0" w:space="0" w:color="auto"/>
        <w:left w:val="none" w:sz="0" w:space="0" w:color="auto"/>
        <w:bottom w:val="none" w:sz="0" w:space="0" w:color="auto"/>
        <w:right w:val="none" w:sz="0" w:space="0" w:color="auto"/>
      </w:divBdr>
    </w:div>
    <w:div w:id="423377044">
      <w:bodyDiv w:val="1"/>
      <w:marLeft w:val="0"/>
      <w:marRight w:val="0"/>
      <w:marTop w:val="0"/>
      <w:marBottom w:val="0"/>
      <w:divBdr>
        <w:top w:val="none" w:sz="0" w:space="0" w:color="auto"/>
        <w:left w:val="none" w:sz="0" w:space="0" w:color="auto"/>
        <w:bottom w:val="none" w:sz="0" w:space="0" w:color="auto"/>
        <w:right w:val="none" w:sz="0" w:space="0" w:color="auto"/>
      </w:divBdr>
      <w:divsChild>
        <w:div w:id="1774202604">
          <w:marLeft w:val="0"/>
          <w:marRight w:val="0"/>
          <w:marTop w:val="0"/>
          <w:marBottom w:val="0"/>
          <w:divBdr>
            <w:top w:val="none" w:sz="0" w:space="0" w:color="auto"/>
            <w:left w:val="none" w:sz="0" w:space="0" w:color="auto"/>
            <w:bottom w:val="none" w:sz="0" w:space="0" w:color="auto"/>
            <w:right w:val="none" w:sz="0" w:space="0" w:color="auto"/>
          </w:divBdr>
          <w:divsChild>
            <w:div w:id="1221013540">
              <w:marLeft w:val="20"/>
              <w:marRight w:val="0"/>
              <w:marTop w:val="0"/>
              <w:marBottom w:val="0"/>
              <w:divBdr>
                <w:top w:val="none" w:sz="0" w:space="0" w:color="auto"/>
                <w:left w:val="none" w:sz="0" w:space="0" w:color="auto"/>
                <w:bottom w:val="none" w:sz="0" w:space="0" w:color="auto"/>
                <w:right w:val="none" w:sz="0" w:space="0" w:color="auto"/>
              </w:divBdr>
              <w:divsChild>
                <w:div w:id="1599174843">
                  <w:marLeft w:val="0"/>
                  <w:marRight w:val="0"/>
                  <w:marTop w:val="0"/>
                  <w:marBottom w:val="0"/>
                  <w:divBdr>
                    <w:top w:val="none" w:sz="0" w:space="0" w:color="auto"/>
                    <w:left w:val="none" w:sz="0" w:space="0" w:color="auto"/>
                    <w:bottom w:val="none" w:sz="0" w:space="0" w:color="auto"/>
                    <w:right w:val="none" w:sz="0" w:space="0" w:color="auto"/>
                  </w:divBdr>
                  <w:divsChild>
                    <w:div w:id="1624918410">
                      <w:marLeft w:val="0"/>
                      <w:marRight w:val="0"/>
                      <w:marTop w:val="0"/>
                      <w:marBottom w:val="0"/>
                      <w:divBdr>
                        <w:top w:val="none" w:sz="0" w:space="0" w:color="auto"/>
                        <w:left w:val="none" w:sz="0" w:space="0" w:color="auto"/>
                        <w:bottom w:val="none" w:sz="0" w:space="0" w:color="auto"/>
                        <w:right w:val="none" w:sz="0" w:space="0" w:color="auto"/>
                      </w:divBdr>
                      <w:divsChild>
                        <w:div w:id="551700770">
                          <w:marLeft w:val="0"/>
                          <w:marRight w:val="0"/>
                          <w:marTop w:val="0"/>
                          <w:marBottom w:val="0"/>
                          <w:divBdr>
                            <w:top w:val="none" w:sz="0" w:space="0" w:color="auto"/>
                            <w:left w:val="none" w:sz="0" w:space="0" w:color="auto"/>
                            <w:bottom w:val="none" w:sz="0" w:space="0" w:color="auto"/>
                            <w:right w:val="none" w:sz="0" w:space="0" w:color="auto"/>
                          </w:divBdr>
                          <w:divsChild>
                            <w:div w:id="686099354">
                              <w:marLeft w:val="0"/>
                              <w:marRight w:val="0"/>
                              <w:marTop w:val="0"/>
                              <w:marBottom w:val="0"/>
                              <w:divBdr>
                                <w:top w:val="none" w:sz="0" w:space="0" w:color="auto"/>
                                <w:left w:val="none" w:sz="0" w:space="0" w:color="auto"/>
                                <w:bottom w:val="none" w:sz="0" w:space="0" w:color="auto"/>
                                <w:right w:val="none" w:sz="0" w:space="0" w:color="auto"/>
                              </w:divBdr>
                              <w:divsChild>
                                <w:div w:id="338191482">
                                  <w:marLeft w:val="0"/>
                                  <w:marRight w:val="0"/>
                                  <w:marTop w:val="0"/>
                                  <w:marBottom w:val="0"/>
                                  <w:divBdr>
                                    <w:top w:val="none" w:sz="0" w:space="0" w:color="auto"/>
                                    <w:left w:val="none" w:sz="0" w:space="0" w:color="auto"/>
                                    <w:bottom w:val="none" w:sz="0" w:space="0" w:color="auto"/>
                                    <w:right w:val="none" w:sz="0" w:space="0" w:color="auto"/>
                                  </w:divBdr>
                                  <w:divsChild>
                                    <w:div w:id="1903712852">
                                      <w:marLeft w:val="0"/>
                                      <w:marRight w:val="0"/>
                                      <w:marTop w:val="0"/>
                                      <w:marBottom w:val="0"/>
                                      <w:divBdr>
                                        <w:top w:val="none" w:sz="0" w:space="0" w:color="auto"/>
                                        <w:left w:val="none" w:sz="0" w:space="0" w:color="auto"/>
                                        <w:bottom w:val="none" w:sz="0" w:space="0" w:color="auto"/>
                                        <w:right w:val="none" w:sz="0" w:space="0" w:color="auto"/>
                                      </w:divBdr>
                                      <w:divsChild>
                                        <w:div w:id="2084597920">
                                          <w:marLeft w:val="0"/>
                                          <w:marRight w:val="0"/>
                                          <w:marTop w:val="0"/>
                                          <w:marBottom w:val="0"/>
                                          <w:divBdr>
                                            <w:top w:val="none" w:sz="0" w:space="0" w:color="auto"/>
                                            <w:left w:val="none" w:sz="0" w:space="0" w:color="auto"/>
                                            <w:bottom w:val="none" w:sz="0" w:space="0" w:color="auto"/>
                                            <w:right w:val="none" w:sz="0" w:space="0" w:color="auto"/>
                                          </w:divBdr>
                                          <w:divsChild>
                                            <w:div w:id="234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148269">
      <w:bodyDiv w:val="1"/>
      <w:marLeft w:val="0"/>
      <w:marRight w:val="0"/>
      <w:marTop w:val="0"/>
      <w:marBottom w:val="0"/>
      <w:divBdr>
        <w:top w:val="none" w:sz="0" w:space="0" w:color="auto"/>
        <w:left w:val="none" w:sz="0" w:space="0" w:color="auto"/>
        <w:bottom w:val="none" w:sz="0" w:space="0" w:color="auto"/>
        <w:right w:val="none" w:sz="0" w:space="0" w:color="auto"/>
      </w:divBdr>
    </w:div>
    <w:div w:id="498036692">
      <w:bodyDiv w:val="1"/>
      <w:marLeft w:val="0"/>
      <w:marRight w:val="0"/>
      <w:marTop w:val="0"/>
      <w:marBottom w:val="0"/>
      <w:divBdr>
        <w:top w:val="none" w:sz="0" w:space="0" w:color="auto"/>
        <w:left w:val="none" w:sz="0" w:space="0" w:color="auto"/>
        <w:bottom w:val="none" w:sz="0" w:space="0" w:color="auto"/>
        <w:right w:val="none" w:sz="0" w:space="0" w:color="auto"/>
      </w:divBdr>
    </w:div>
    <w:div w:id="521475218">
      <w:bodyDiv w:val="1"/>
      <w:marLeft w:val="0"/>
      <w:marRight w:val="0"/>
      <w:marTop w:val="0"/>
      <w:marBottom w:val="0"/>
      <w:divBdr>
        <w:top w:val="none" w:sz="0" w:space="0" w:color="auto"/>
        <w:left w:val="none" w:sz="0" w:space="0" w:color="auto"/>
        <w:bottom w:val="none" w:sz="0" w:space="0" w:color="auto"/>
        <w:right w:val="none" w:sz="0" w:space="0" w:color="auto"/>
      </w:divBdr>
    </w:div>
    <w:div w:id="548028755">
      <w:bodyDiv w:val="1"/>
      <w:marLeft w:val="0"/>
      <w:marRight w:val="0"/>
      <w:marTop w:val="0"/>
      <w:marBottom w:val="0"/>
      <w:divBdr>
        <w:top w:val="none" w:sz="0" w:space="0" w:color="auto"/>
        <w:left w:val="none" w:sz="0" w:space="0" w:color="auto"/>
        <w:bottom w:val="none" w:sz="0" w:space="0" w:color="auto"/>
        <w:right w:val="none" w:sz="0" w:space="0" w:color="auto"/>
      </w:divBdr>
    </w:div>
    <w:div w:id="569996051">
      <w:bodyDiv w:val="1"/>
      <w:marLeft w:val="0"/>
      <w:marRight w:val="0"/>
      <w:marTop w:val="0"/>
      <w:marBottom w:val="0"/>
      <w:divBdr>
        <w:top w:val="none" w:sz="0" w:space="0" w:color="auto"/>
        <w:left w:val="none" w:sz="0" w:space="0" w:color="auto"/>
        <w:bottom w:val="none" w:sz="0" w:space="0" w:color="auto"/>
        <w:right w:val="none" w:sz="0" w:space="0" w:color="auto"/>
      </w:divBdr>
    </w:div>
    <w:div w:id="573973352">
      <w:bodyDiv w:val="1"/>
      <w:marLeft w:val="0"/>
      <w:marRight w:val="0"/>
      <w:marTop w:val="0"/>
      <w:marBottom w:val="0"/>
      <w:divBdr>
        <w:top w:val="none" w:sz="0" w:space="0" w:color="auto"/>
        <w:left w:val="none" w:sz="0" w:space="0" w:color="auto"/>
        <w:bottom w:val="none" w:sz="0" w:space="0" w:color="auto"/>
        <w:right w:val="none" w:sz="0" w:space="0" w:color="auto"/>
      </w:divBdr>
    </w:div>
    <w:div w:id="686756804">
      <w:bodyDiv w:val="1"/>
      <w:marLeft w:val="0"/>
      <w:marRight w:val="0"/>
      <w:marTop w:val="0"/>
      <w:marBottom w:val="0"/>
      <w:divBdr>
        <w:top w:val="none" w:sz="0" w:space="0" w:color="auto"/>
        <w:left w:val="none" w:sz="0" w:space="0" w:color="auto"/>
        <w:bottom w:val="none" w:sz="0" w:space="0" w:color="auto"/>
        <w:right w:val="none" w:sz="0" w:space="0" w:color="auto"/>
      </w:divBdr>
    </w:div>
    <w:div w:id="691300339">
      <w:bodyDiv w:val="1"/>
      <w:marLeft w:val="0"/>
      <w:marRight w:val="0"/>
      <w:marTop w:val="0"/>
      <w:marBottom w:val="0"/>
      <w:divBdr>
        <w:top w:val="none" w:sz="0" w:space="0" w:color="auto"/>
        <w:left w:val="none" w:sz="0" w:space="0" w:color="auto"/>
        <w:bottom w:val="none" w:sz="0" w:space="0" w:color="auto"/>
        <w:right w:val="none" w:sz="0" w:space="0" w:color="auto"/>
      </w:divBdr>
    </w:div>
    <w:div w:id="699933911">
      <w:bodyDiv w:val="1"/>
      <w:marLeft w:val="0"/>
      <w:marRight w:val="0"/>
      <w:marTop w:val="0"/>
      <w:marBottom w:val="0"/>
      <w:divBdr>
        <w:top w:val="none" w:sz="0" w:space="0" w:color="auto"/>
        <w:left w:val="none" w:sz="0" w:space="0" w:color="auto"/>
        <w:bottom w:val="none" w:sz="0" w:space="0" w:color="auto"/>
        <w:right w:val="none" w:sz="0" w:space="0" w:color="auto"/>
      </w:divBdr>
    </w:div>
    <w:div w:id="704910395">
      <w:bodyDiv w:val="1"/>
      <w:marLeft w:val="0"/>
      <w:marRight w:val="0"/>
      <w:marTop w:val="0"/>
      <w:marBottom w:val="0"/>
      <w:divBdr>
        <w:top w:val="none" w:sz="0" w:space="0" w:color="auto"/>
        <w:left w:val="none" w:sz="0" w:space="0" w:color="auto"/>
        <w:bottom w:val="none" w:sz="0" w:space="0" w:color="auto"/>
        <w:right w:val="none" w:sz="0" w:space="0" w:color="auto"/>
      </w:divBdr>
    </w:div>
    <w:div w:id="722484012">
      <w:bodyDiv w:val="1"/>
      <w:marLeft w:val="0"/>
      <w:marRight w:val="0"/>
      <w:marTop w:val="0"/>
      <w:marBottom w:val="0"/>
      <w:divBdr>
        <w:top w:val="none" w:sz="0" w:space="0" w:color="auto"/>
        <w:left w:val="none" w:sz="0" w:space="0" w:color="auto"/>
        <w:bottom w:val="none" w:sz="0" w:space="0" w:color="auto"/>
        <w:right w:val="none" w:sz="0" w:space="0" w:color="auto"/>
      </w:divBdr>
    </w:div>
    <w:div w:id="734277128">
      <w:bodyDiv w:val="1"/>
      <w:marLeft w:val="0"/>
      <w:marRight w:val="0"/>
      <w:marTop w:val="0"/>
      <w:marBottom w:val="0"/>
      <w:divBdr>
        <w:top w:val="none" w:sz="0" w:space="0" w:color="auto"/>
        <w:left w:val="none" w:sz="0" w:space="0" w:color="auto"/>
        <w:bottom w:val="none" w:sz="0" w:space="0" w:color="auto"/>
        <w:right w:val="none" w:sz="0" w:space="0" w:color="auto"/>
      </w:divBdr>
    </w:div>
    <w:div w:id="752512939">
      <w:bodyDiv w:val="1"/>
      <w:marLeft w:val="0"/>
      <w:marRight w:val="0"/>
      <w:marTop w:val="0"/>
      <w:marBottom w:val="0"/>
      <w:divBdr>
        <w:top w:val="none" w:sz="0" w:space="0" w:color="auto"/>
        <w:left w:val="none" w:sz="0" w:space="0" w:color="auto"/>
        <w:bottom w:val="none" w:sz="0" w:space="0" w:color="auto"/>
        <w:right w:val="none" w:sz="0" w:space="0" w:color="auto"/>
      </w:divBdr>
    </w:div>
    <w:div w:id="753628228">
      <w:bodyDiv w:val="1"/>
      <w:marLeft w:val="0"/>
      <w:marRight w:val="0"/>
      <w:marTop w:val="0"/>
      <w:marBottom w:val="0"/>
      <w:divBdr>
        <w:top w:val="none" w:sz="0" w:space="0" w:color="auto"/>
        <w:left w:val="none" w:sz="0" w:space="0" w:color="auto"/>
        <w:bottom w:val="none" w:sz="0" w:space="0" w:color="auto"/>
        <w:right w:val="none" w:sz="0" w:space="0" w:color="auto"/>
      </w:divBdr>
    </w:div>
    <w:div w:id="775905966">
      <w:bodyDiv w:val="1"/>
      <w:marLeft w:val="0"/>
      <w:marRight w:val="0"/>
      <w:marTop w:val="0"/>
      <w:marBottom w:val="0"/>
      <w:divBdr>
        <w:top w:val="none" w:sz="0" w:space="0" w:color="auto"/>
        <w:left w:val="none" w:sz="0" w:space="0" w:color="auto"/>
        <w:bottom w:val="none" w:sz="0" w:space="0" w:color="auto"/>
        <w:right w:val="none" w:sz="0" w:space="0" w:color="auto"/>
      </w:divBdr>
      <w:divsChild>
        <w:div w:id="1146750444">
          <w:marLeft w:val="0"/>
          <w:marRight w:val="0"/>
          <w:marTop w:val="0"/>
          <w:marBottom w:val="0"/>
          <w:divBdr>
            <w:top w:val="none" w:sz="0" w:space="0" w:color="auto"/>
            <w:left w:val="none" w:sz="0" w:space="0" w:color="auto"/>
            <w:bottom w:val="none" w:sz="0" w:space="0" w:color="auto"/>
            <w:right w:val="none" w:sz="0" w:space="0" w:color="auto"/>
          </w:divBdr>
          <w:divsChild>
            <w:div w:id="116606719">
              <w:marLeft w:val="0"/>
              <w:marRight w:val="0"/>
              <w:marTop w:val="0"/>
              <w:marBottom w:val="0"/>
              <w:divBdr>
                <w:top w:val="none" w:sz="0" w:space="0" w:color="auto"/>
                <w:left w:val="none" w:sz="0" w:space="0" w:color="auto"/>
                <w:bottom w:val="none" w:sz="0" w:space="0" w:color="auto"/>
                <w:right w:val="none" w:sz="0" w:space="0" w:color="auto"/>
              </w:divBdr>
            </w:div>
          </w:divsChild>
        </w:div>
        <w:div w:id="1814788208">
          <w:marLeft w:val="0"/>
          <w:marRight w:val="0"/>
          <w:marTop w:val="0"/>
          <w:marBottom w:val="0"/>
          <w:divBdr>
            <w:top w:val="none" w:sz="0" w:space="0" w:color="auto"/>
            <w:left w:val="none" w:sz="0" w:space="0" w:color="auto"/>
            <w:bottom w:val="none" w:sz="0" w:space="0" w:color="auto"/>
            <w:right w:val="none" w:sz="0" w:space="0" w:color="auto"/>
          </w:divBdr>
          <w:divsChild>
            <w:div w:id="9013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1457">
      <w:bodyDiv w:val="1"/>
      <w:marLeft w:val="0"/>
      <w:marRight w:val="0"/>
      <w:marTop w:val="0"/>
      <w:marBottom w:val="0"/>
      <w:divBdr>
        <w:top w:val="none" w:sz="0" w:space="0" w:color="auto"/>
        <w:left w:val="none" w:sz="0" w:space="0" w:color="auto"/>
        <w:bottom w:val="none" w:sz="0" w:space="0" w:color="auto"/>
        <w:right w:val="none" w:sz="0" w:space="0" w:color="auto"/>
      </w:divBdr>
      <w:divsChild>
        <w:div w:id="636182657">
          <w:marLeft w:val="0"/>
          <w:marRight w:val="0"/>
          <w:marTop w:val="0"/>
          <w:marBottom w:val="0"/>
          <w:divBdr>
            <w:top w:val="none" w:sz="0" w:space="0" w:color="auto"/>
            <w:left w:val="none" w:sz="0" w:space="0" w:color="auto"/>
            <w:bottom w:val="none" w:sz="0" w:space="0" w:color="auto"/>
            <w:right w:val="none" w:sz="0" w:space="0" w:color="auto"/>
          </w:divBdr>
        </w:div>
        <w:div w:id="719861462">
          <w:marLeft w:val="0"/>
          <w:marRight w:val="0"/>
          <w:marTop w:val="0"/>
          <w:marBottom w:val="0"/>
          <w:divBdr>
            <w:top w:val="none" w:sz="0" w:space="0" w:color="auto"/>
            <w:left w:val="none" w:sz="0" w:space="0" w:color="auto"/>
            <w:bottom w:val="none" w:sz="0" w:space="0" w:color="auto"/>
            <w:right w:val="none" w:sz="0" w:space="0" w:color="auto"/>
          </w:divBdr>
        </w:div>
        <w:div w:id="1102143889">
          <w:marLeft w:val="0"/>
          <w:marRight w:val="0"/>
          <w:marTop w:val="0"/>
          <w:marBottom w:val="0"/>
          <w:divBdr>
            <w:top w:val="none" w:sz="0" w:space="0" w:color="auto"/>
            <w:left w:val="none" w:sz="0" w:space="0" w:color="auto"/>
            <w:bottom w:val="none" w:sz="0" w:space="0" w:color="auto"/>
            <w:right w:val="none" w:sz="0" w:space="0" w:color="auto"/>
          </w:divBdr>
        </w:div>
        <w:div w:id="1317341169">
          <w:marLeft w:val="0"/>
          <w:marRight w:val="0"/>
          <w:marTop w:val="0"/>
          <w:marBottom w:val="0"/>
          <w:divBdr>
            <w:top w:val="none" w:sz="0" w:space="0" w:color="auto"/>
            <w:left w:val="none" w:sz="0" w:space="0" w:color="auto"/>
            <w:bottom w:val="none" w:sz="0" w:space="0" w:color="auto"/>
            <w:right w:val="none" w:sz="0" w:space="0" w:color="auto"/>
          </w:divBdr>
        </w:div>
        <w:div w:id="1604993724">
          <w:marLeft w:val="0"/>
          <w:marRight w:val="0"/>
          <w:marTop w:val="0"/>
          <w:marBottom w:val="0"/>
          <w:divBdr>
            <w:top w:val="none" w:sz="0" w:space="0" w:color="auto"/>
            <w:left w:val="none" w:sz="0" w:space="0" w:color="auto"/>
            <w:bottom w:val="none" w:sz="0" w:space="0" w:color="auto"/>
            <w:right w:val="none" w:sz="0" w:space="0" w:color="auto"/>
          </w:divBdr>
        </w:div>
      </w:divsChild>
    </w:div>
    <w:div w:id="788863629">
      <w:bodyDiv w:val="1"/>
      <w:marLeft w:val="0"/>
      <w:marRight w:val="0"/>
      <w:marTop w:val="0"/>
      <w:marBottom w:val="0"/>
      <w:divBdr>
        <w:top w:val="none" w:sz="0" w:space="0" w:color="auto"/>
        <w:left w:val="none" w:sz="0" w:space="0" w:color="auto"/>
        <w:bottom w:val="none" w:sz="0" w:space="0" w:color="auto"/>
        <w:right w:val="none" w:sz="0" w:space="0" w:color="auto"/>
      </w:divBdr>
    </w:div>
    <w:div w:id="803625224">
      <w:bodyDiv w:val="1"/>
      <w:marLeft w:val="0"/>
      <w:marRight w:val="0"/>
      <w:marTop w:val="0"/>
      <w:marBottom w:val="0"/>
      <w:divBdr>
        <w:top w:val="none" w:sz="0" w:space="0" w:color="auto"/>
        <w:left w:val="none" w:sz="0" w:space="0" w:color="auto"/>
        <w:bottom w:val="none" w:sz="0" w:space="0" w:color="auto"/>
        <w:right w:val="none" w:sz="0" w:space="0" w:color="auto"/>
      </w:divBdr>
    </w:div>
    <w:div w:id="834998239">
      <w:bodyDiv w:val="1"/>
      <w:marLeft w:val="0"/>
      <w:marRight w:val="0"/>
      <w:marTop w:val="0"/>
      <w:marBottom w:val="0"/>
      <w:divBdr>
        <w:top w:val="none" w:sz="0" w:space="0" w:color="auto"/>
        <w:left w:val="none" w:sz="0" w:space="0" w:color="auto"/>
        <w:bottom w:val="none" w:sz="0" w:space="0" w:color="auto"/>
        <w:right w:val="none" w:sz="0" w:space="0" w:color="auto"/>
      </w:divBdr>
    </w:div>
    <w:div w:id="857308448">
      <w:bodyDiv w:val="1"/>
      <w:marLeft w:val="0"/>
      <w:marRight w:val="0"/>
      <w:marTop w:val="0"/>
      <w:marBottom w:val="0"/>
      <w:divBdr>
        <w:top w:val="none" w:sz="0" w:space="0" w:color="auto"/>
        <w:left w:val="none" w:sz="0" w:space="0" w:color="auto"/>
        <w:bottom w:val="none" w:sz="0" w:space="0" w:color="auto"/>
        <w:right w:val="none" w:sz="0" w:space="0" w:color="auto"/>
      </w:divBdr>
    </w:div>
    <w:div w:id="881483341">
      <w:bodyDiv w:val="1"/>
      <w:marLeft w:val="0"/>
      <w:marRight w:val="0"/>
      <w:marTop w:val="0"/>
      <w:marBottom w:val="0"/>
      <w:divBdr>
        <w:top w:val="none" w:sz="0" w:space="0" w:color="auto"/>
        <w:left w:val="none" w:sz="0" w:space="0" w:color="auto"/>
        <w:bottom w:val="none" w:sz="0" w:space="0" w:color="auto"/>
        <w:right w:val="none" w:sz="0" w:space="0" w:color="auto"/>
      </w:divBdr>
    </w:div>
    <w:div w:id="885528024">
      <w:bodyDiv w:val="1"/>
      <w:marLeft w:val="0"/>
      <w:marRight w:val="0"/>
      <w:marTop w:val="0"/>
      <w:marBottom w:val="0"/>
      <w:divBdr>
        <w:top w:val="none" w:sz="0" w:space="0" w:color="auto"/>
        <w:left w:val="none" w:sz="0" w:space="0" w:color="auto"/>
        <w:bottom w:val="none" w:sz="0" w:space="0" w:color="auto"/>
        <w:right w:val="none" w:sz="0" w:space="0" w:color="auto"/>
      </w:divBdr>
      <w:divsChild>
        <w:div w:id="673145417">
          <w:marLeft w:val="0"/>
          <w:marRight w:val="0"/>
          <w:marTop w:val="0"/>
          <w:marBottom w:val="0"/>
          <w:divBdr>
            <w:top w:val="none" w:sz="0" w:space="0" w:color="auto"/>
            <w:left w:val="none" w:sz="0" w:space="0" w:color="auto"/>
            <w:bottom w:val="none" w:sz="0" w:space="0" w:color="auto"/>
            <w:right w:val="none" w:sz="0" w:space="0" w:color="auto"/>
          </w:divBdr>
          <w:divsChild>
            <w:div w:id="900942314">
              <w:marLeft w:val="20"/>
              <w:marRight w:val="0"/>
              <w:marTop w:val="0"/>
              <w:marBottom w:val="0"/>
              <w:divBdr>
                <w:top w:val="none" w:sz="0" w:space="0" w:color="auto"/>
                <w:left w:val="none" w:sz="0" w:space="0" w:color="auto"/>
                <w:bottom w:val="none" w:sz="0" w:space="0" w:color="auto"/>
                <w:right w:val="none" w:sz="0" w:space="0" w:color="auto"/>
              </w:divBdr>
              <w:divsChild>
                <w:div w:id="1499227922">
                  <w:marLeft w:val="0"/>
                  <w:marRight w:val="0"/>
                  <w:marTop w:val="0"/>
                  <w:marBottom w:val="0"/>
                  <w:divBdr>
                    <w:top w:val="none" w:sz="0" w:space="0" w:color="auto"/>
                    <w:left w:val="none" w:sz="0" w:space="0" w:color="auto"/>
                    <w:bottom w:val="none" w:sz="0" w:space="0" w:color="auto"/>
                    <w:right w:val="none" w:sz="0" w:space="0" w:color="auto"/>
                  </w:divBdr>
                  <w:divsChild>
                    <w:div w:id="1495606897">
                      <w:marLeft w:val="0"/>
                      <w:marRight w:val="0"/>
                      <w:marTop w:val="0"/>
                      <w:marBottom w:val="0"/>
                      <w:divBdr>
                        <w:top w:val="none" w:sz="0" w:space="0" w:color="auto"/>
                        <w:left w:val="none" w:sz="0" w:space="0" w:color="auto"/>
                        <w:bottom w:val="none" w:sz="0" w:space="0" w:color="auto"/>
                        <w:right w:val="none" w:sz="0" w:space="0" w:color="auto"/>
                      </w:divBdr>
                      <w:divsChild>
                        <w:div w:id="102499444">
                          <w:marLeft w:val="0"/>
                          <w:marRight w:val="0"/>
                          <w:marTop w:val="0"/>
                          <w:marBottom w:val="0"/>
                          <w:divBdr>
                            <w:top w:val="none" w:sz="0" w:space="0" w:color="auto"/>
                            <w:left w:val="none" w:sz="0" w:space="0" w:color="auto"/>
                            <w:bottom w:val="none" w:sz="0" w:space="0" w:color="auto"/>
                            <w:right w:val="none" w:sz="0" w:space="0" w:color="auto"/>
                          </w:divBdr>
                          <w:divsChild>
                            <w:div w:id="695424580">
                              <w:marLeft w:val="0"/>
                              <w:marRight w:val="0"/>
                              <w:marTop w:val="0"/>
                              <w:marBottom w:val="0"/>
                              <w:divBdr>
                                <w:top w:val="none" w:sz="0" w:space="0" w:color="auto"/>
                                <w:left w:val="none" w:sz="0" w:space="0" w:color="auto"/>
                                <w:bottom w:val="none" w:sz="0" w:space="0" w:color="auto"/>
                                <w:right w:val="none" w:sz="0" w:space="0" w:color="auto"/>
                              </w:divBdr>
                              <w:divsChild>
                                <w:div w:id="855580499">
                                  <w:marLeft w:val="0"/>
                                  <w:marRight w:val="0"/>
                                  <w:marTop w:val="0"/>
                                  <w:marBottom w:val="0"/>
                                  <w:divBdr>
                                    <w:top w:val="none" w:sz="0" w:space="0" w:color="auto"/>
                                    <w:left w:val="none" w:sz="0" w:space="0" w:color="auto"/>
                                    <w:bottom w:val="none" w:sz="0" w:space="0" w:color="auto"/>
                                    <w:right w:val="none" w:sz="0" w:space="0" w:color="auto"/>
                                  </w:divBdr>
                                  <w:divsChild>
                                    <w:div w:id="164562329">
                                      <w:marLeft w:val="0"/>
                                      <w:marRight w:val="0"/>
                                      <w:marTop w:val="0"/>
                                      <w:marBottom w:val="0"/>
                                      <w:divBdr>
                                        <w:top w:val="none" w:sz="0" w:space="0" w:color="auto"/>
                                        <w:left w:val="none" w:sz="0" w:space="0" w:color="auto"/>
                                        <w:bottom w:val="none" w:sz="0" w:space="0" w:color="auto"/>
                                        <w:right w:val="none" w:sz="0" w:space="0" w:color="auto"/>
                                      </w:divBdr>
                                      <w:divsChild>
                                        <w:div w:id="2010058184">
                                          <w:marLeft w:val="0"/>
                                          <w:marRight w:val="0"/>
                                          <w:marTop w:val="0"/>
                                          <w:marBottom w:val="0"/>
                                          <w:divBdr>
                                            <w:top w:val="none" w:sz="0" w:space="0" w:color="auto"/>
                                            <w:left w:val="none" w:sz="0" w:space="0" w:color="auto"/>
                                            <w:bottom w:val="none" w:sz="0" w:space="0" w:color="auto"/>
                                            <w:right w:val="none" w:sz="0" w:space="0" w:color="auto"/>
                                          </w:divBdr>
                                          <w:divsChild>
                                            <w:div w:id="20728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8538062">
      <w:bodyDiv w:val="1"/>
      <w:marLeft w:val="0"/>
      <w:marRight w:val="0"/>
      <w:marTop w:val="0"/>
      <w:marBottom w:val="0"/>
      <w:divBdr>
        <w:top w:val="none" w:sz="0" w:space="0" w:color="auto"/>
        <w:left w:val="none" w:sz="0" w:space="0" w:color="auto"/>
        <w:bottom w:val="none" w:sz="0" w:space="0" w:color="auto"/>
        <w:right w:val="none" w:sz="0" w:space="0" w:color="auto"/>
      </w:divBdr>
    </w:div>
    <w:div w:id="910196420">
      <w:bodyDiv w:val="1"/>
      <w:marLeft w:val="0"/>
      <w:marRight w:val="0"/>
      <w:marTop w:val="0"/>
      <w:marBottom w:val="0"/>
      <w:divBdr>
        <w:top w:val="none" w:sz="0" w:space="0" w:color="auto"/>
        <w:left w:val="none" w:sz="0" w:space="0" w:color="auto"/>
        <w:bottom w:val="none" w:sz="0" w:space="0" w:color="auto"/>
        <w:right w:val="none" w:sz="0" w:space="0" w:color="auto"/>
      </w:divBdr>
    </w:div>
    <w:div w:id="915094754">
      <w:bodyDiv w:val="1"/>
      <w:marLeft w:val="0"/>
      <w:marRight w:val="0"/>
      <w:marTop w:val="0"/>
      <w:marBottom w:val="0"/>
      <w:divBdr>
        <w:top w:val="none" w:sz="0" w:space="0" w:color="auto"/>
        <w:left w:val="none" w:sz="0" w:space="0" w:color="auto"/>
        <w:bottom w:val="none" w:sz="0" w:space="0" w:color="auto"/>
        <w:right w:val="none" w:sz="0" w:space="0" w:color="auto"/>
      </w:divBdr>
    </w:div>
    <w:div w:id="936791204">
      <w:bodyDiv w:val="1"/>
      <w:marLeft w:val="0"/>
      <w:marRight w:val="0"/>
      <w:marTop w:val="0"/>
      <w:marBottom w:val="0"/>
      <w:divBdr>
        <w:top w:val="none" w:sz="0" w:space="0" w:color="auto"/>
        <w:left w:val="none" w:sz="0" w:space="0" w:color="auto"/>
        <w:bottom w:val="none" w:sz="0" w:space="0" w:color="auto"/>
        <w:right w:val="none" w:sz="0" w:space="0" w:color="auto"/>
      </w:divBdr>
      <w:divsChild>
        <w:div w:id="735325489">
          <w:marLeft w:val="0"/>
          <w:marRight w:val="0"/>
          <w:marTop w:val="0"/>
          <w:marBottom w:val="0"/>
          <w:divBdr>
            <w:top w:val="none" w:sz="0" w:space="0" w:color="auto"/>
            <w:left w:val="none" w:sz="0" w:space="0" w:color="auto"/>
            <w:bottom w:val="none" w:sz="0" w:space="0" w:color="auto"/>
            <w:right w:val="none" w:sz="0" w:space="0" w:color="auto"/>
          </w:divBdr>
          <w:divsChild>
            <w:div w:id="2140175099">
              <w:marLeft w:val="20"/>
              <w:marRight w:val="0"/>
              <w:marTop w:val="0"/>
              <w:marBottom w:val="0"/>
              <w:divBdr>
                <w:top w:val="none" w:sz="0" w:space="0" w:color="auto"/>
                <w:left w:val="none" w:sz="0" w:space="0" w:color="auto"/>
                <w:bottom w:val="none" w:sz="0" w:space="0" w:color="auto"/>
                <w:right w:val="none" w:sz="0" w:space="0" w:color="auto"/>
              </w:divBdr>
              <w:divsChild>
                <w:div w:id="592474080">
                  <w:marLeft w:val="0"/>
                  <w:marRight w:val="0"/>
                  <w:marTop w:val="0"/>
                  <w:marBottom w:val="0"/>
                  <w:divBdr>
                    <w:top w:val="none" w:sz="0" w:space="0" w:color="auto"/>
                    <w:left w:val="none" w:sz="0" w:space="0" w:color="auto"/>
                    <w:bottom w:val="none" w:sz="0" w:space="0" w:color="auto"/>
                    <w:right w:val="none" w:sz="0" w:space="0" w:color="auto"/>
                  </w:divBdr>
                  <w:divsChild>
                    <w:div w:id="1802770779">
                      <w:marLeft w:val="0"/>
                      <w:marRight w:val="0"/>
                      <w:marTop w:val="0"/>
                      <w:marBottom w:val="0"/>
                      <w:divBdr>
                        <w:top w:val="none" w:sz="0" w:space="0" w:color="auto"/>
                        <w:left w:val="none" w:sz="0" w:space="0" w:color="auto"/>
                        <w:bottom w:val="none" w:sz="0" w:space="0" w:color="auto"/>
                        <w:right w:val="none" w:sz="0" w:space="0" w:color="auto"/>
                      </w:divBdr>
                      <w:divsChild>
                        <w:div w:id="2030909473">
                          <w:marLeft w:val="0"/>
                          <w:marRight w:val="0"/>
                          <w:marTop w:val="0"/>
                          <w:marBottom w:val="0"/>
                          <w:divBdr>
                            <w:top w:val="none" w:sz="0" w:space="0" w:color="auto"/>
                            <w:left w:val="none" w:sz="0" w:space="0" w:color="auto"/>
                            <w:bottom w:val="none" w:sz="0" w:space="0" w:color="auto"/>
                            <w:right w:val="none" w:sz="0" w:space="0" w:color="auto"/>
                          </w:divBdr>
                          <w:divsChild>
                            <w:div w:id="1306474626">
                              <w:marLeft w:val="0"/>
                              <w:marRight w:val="0"/>
                              <w:marTop w:val="0"/>
                              <w:marBottom w:val="0"/>
                              <w:divBdr>
                                <w:top w:val="none" w:sz="0" w:space="0" w:color="auto"/>
                                <w:left w:val="none" w:sz="0" w:space="0" w:color="auto"/>
                                <w:bottom w:val="none" w:sz="0" w:space="0" w:color="auto"/>
                                <w:right w:val="none" w:sz="0" w:space="0" w:color="auto"/>
                              </w:divBdr>
                              <w:divsChild>
                                <w:div w:id="549266244">
                                  <w:marLeft w:val="0"/>
                                  <w:marRight w:val="0"/>
                                  <w:marTop w:val="0"/>
                                  <w:marBottom w:val="0"/>
                                  <w:divBdr>
                                    <w:top w:val="none" w:sz="0" w:space="0" w:color="auto"/>
                                    <w:left w:val="none" w:sz="0" w:space="0" w:color="auto"/>
                                    <w:bottom w:val="none" w:sz="0" w:space="0" w:color="auto"/>
                                    <w:right w:val="none" w:sz="0" w:space="0" w:color="auto"/>
                                  </w:divBdr>
                                  <w:divsChild>
                                    <w:div w:id="309746711">
                                      <w:marLeft w:val="0"/>
                                      <w:marRight w:val="0"/>
                                      <w:marTop w:val="0"/>
                                      <w:marBottom w:val="0"/>
                                      <w:divBdr>
                                        <w:top w:val="none" w:sz="0" w:space="0" w:color="auto"/>
                                        <w:left w:val="none" w:sz="0" w:space="0" w:color="auto"/>
                                        <w:bottom w:val="none" w:sz="0" w:space="0" w:color="auto"/>
                                        <w:right w:val="none" w:sz="0" w:space="0" w:color="auto"/>
                                      </w:divBdr>
                                      <w:divsChild>
                                        <w:div w:id="152647670">
                                          <w:marLeft w:val="0"/>
                                          <w:marRight w:val="0"/>
                                          <w:marTop w:val="0"/>
                                          <w:marBottom w:val="0"/>
                                          <w:divBdr>
                                            <w:top w:val="none" w:sz="0" w:space="0" w:color="auto"/>
                                            <w:left w:val="none" w:sz="0" w:space="0" w:color="auto"/>
                                            <w:bottom w:val="none" w:sz="0" w:space="0" w:color="auto"/>
                                            <w:right w:val="none" w:sz="0" w:space="0" w:color="auto"/>
                                          </w:divBdr>
                                          <w:divsChild>
                                            <w:div w:id="2707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862159">
      <w:bodyDiv w:val="1"/>
      <w:marLeft w:val="0"/>
      <w:marRight w:val="0"/>
      <w:marTop w:val="0"/>
      <w:marBottom w:val="0"/>
      <w:divBdr>
        <w:top w:val="none" w:sz="0" w:space="0" w:color="auto"/>
        <w:left w:val="none" w:sz="0" w:space="0" w:color="auto"/>
        <w:bottom w:val="none" w:sz="0" w:space="0" w:color="auto"/>
        <w:right w:val="none" w:sz="0" w:space="0" w:color="auto"/>
      </w:divBdr>
    </w:div>
    <w:div w:id="963579449">
      <w:bodyDiv w:val="1"/>
      <w:marLeft w:val="0"/>
      <w:marRight w:val="0"/>
      <w:marTop w:val="0"/>
      <w:marBottom w:val="0"/>
      <w:divBdr>
        <w:top w:val="none" w:sz="0" w:space="0" w:color="auto"/>
        <w:left w:val="none" w:sz="0" w:space="0" w:color="auto"/>
        <w:bottom w:val="none" w:sz="0" w:space="0" w:color="auto"/>
        <w:right w:val="none" w:sz="0" w:space="0" w:color="auto"/>
      </w:divBdr>
      <w:divsChild>
        <w:div w:id="659307856">
          <w:marLeft w:val="0"/>
          <w:marRight w:val="0"/>
          <w:marTop w:val="0"/>
          <w:marBottom w:val="0"/>
          <w:divBdr>
            <w:top w:val="none" w:sz="0" w:space="0" w:color="auto"/>
            <w:left w:val="none" w:sz="0" w:space="0" w:color="auto"/>
            <w:bottom w:val="none" w:sz="0" w:space="0" w:color="auto"/>
            <w:right w:val="none" w:sz="0" w:space="0" w:color="auto"/>
          </w:divBdr>
          <w:divsChild>
            <w:div w:id="477571232">
              <w:marLeft w:val="20"/>
              <w:marRight w:val="0"/>
              <w:marTop w:val="0"/>
              <w:marBottom w:val="0"/>
              <w:divBdr>
                <w:top w:val="none" w:sz="0" w:space="0" w:color="auto"/>
                <w:left w:val="none" w:sz="0" w:space="0" w:color="auto"/>
                <w:bottom w:val="none" w:sz="0" w:space="0" w:color="auto"/>
                <w:right w:val="none" w:sz="0" w:space="0" w:color="auto"/>
              </w:divBdr>
              <w:divsChild>
                <w:div w:id="537666113">
                  <w:marLeft w:val="0"/>
                  <w:marRight w:val="0"/>
                  <w:marTop w:val="0"/>
                  <w:marBottom w:val="0"/>
                  <w:divBdr>
                    <w:top w:val="none" w:sz="0" w:space="0" w:color="auto"/>
                    <w:left w:val="none" w:sz="0" w:space="0" w:color="auto"/>
                    <w:bottom w:val="none" w:sz="0" w:space="0" w:color="auto"/>
                    <w:right w:val="none" w:sz="0" w:space="0" w:color="auto"/>
                  </w:divBdr>
                  <w:divsChild>
                    <w:div w:id="1068068148">
                      <w:marLeft w:val="0"/>
                      <w:marRight w:val="0"/>
                      <w:marTop w:val="0"/>
                      <w:marBottom w:val="0"/>
                      <w:divBdr>
                        <w:top w:val="none" w:sz="0" w:space="0" w:color="auto"/>
                        <w:left w:val="none" w:sz="0" w:space="0" w:color="auto"/>
                        <w:bottom w:val="none" w:sz="0" w:space="0" w:color="auto"/>
                        <w:right w:val="none" w:sz="0" w:space="0" w:color="auto"/>
                      </w:divBdr>
                      <w:divsChild>
                        <w:div w:id="1712414113">
                          <w:marLeft w:val="0"/>
                          <w:marRight w:val="0"/>
                          <w:marTop w:val="0"/>
                          <w:marBottom w:val="0"/>
                          <w:divBdr>
                            <w:top w:val="none" w:sz="0" w:space="0" w:color="auto"/>
                            <w:left w:val="none" w:sz="0" w:space="0" w:color="auto"/>
                            <w:bottom w:val="none" w:sz="0" w:space="0" w:color="auto"/>
                            <w:right w:val="none" w:sz="0" w:space="0" w:color="auto"/>
                          </w:divBdr>
                          <w:divsChild>
                            <w:div w:id="998341950">
                              <w:marLeft w:val="0"/>
                              <w:marRight w:val="0"/>
                              <w:marTop w:val="0"/>
                              <w:marBottom w:val="0"/>
                              <w:divBdr>
                                <w:top w:val="none" w:sz="0" w:space="0" w:color="auto"/>
                                <w:left w:val="none" w:sz="0" w:space="0" w:color="auto"/>
                                <w:bottom w:val="none" w:sz="0" w:space="0" w:color="auto"/>
                                <w:right w:val="none" w:sz="0" w:space="0" w:color="auto"/>
                              </w:divBdr>
                              <w:divsChild>
                                <w:div w:id="1525635697">
                                  <w:marLeft w:val="0"/>
                                  <w:marRight w:val="0"/>
                                  <w:marTop w:val="0"/>
                                  <w:marBottom w:val="0"/>
                                  <w:divBdr>
                                    <w:top w:val="none" w:sz="0" w:space="0" w:color="auto"/>
                                    <w:left w:val="none" w:sz="0" w:space="0" w:color="auto"/>
                                    <w:bottom w:val="none" w:sz="0" w:space="0" w:color="auto"/>
                                    <w:right w:val="none" w:sz="0" w:space="0" w:color="auto"/>
                                  </w:divBdr>
                                  <w:divsChild>
                                    <w:div w:id="1311717520">
                                      <w:marLeft w:val="0"/>
                                      <w:marRight w:val="0"/>
                                      <w:marTop w:val="0"/>
                                      <w:marBottom w:val="0"/>
                                      <w:divBdr>
                                        <w:top w:val="none" w:sz="0" w:space="0" w:color="auto"/>
                                        <w:left w:val="none" w:sz="0" w:space="0" w:color="auto"/>
                                        <w:bottom w:val="none" w:sz="0" w:space="0" w:color="auto"/>
                                        <w:right w:val="none" w:sz="0" w:space="0" w:color="auto"/>
                                      </w:divBdr>
                                      <w:divsChild>
                                        <w:div w:id="751391596">
                                          <w:marLeft w:val="0"/>
                                          <w:marRight w:val="0"/>
                                          <w:marTop w:val="0"/>
                                          <w:marBottom w:val="0"/>
                                          <w:divBdr>
                                            <w:top w:val="none" w:sz="0" w:space="0" w:color="auto"/>
                                            <w:left w:val="none" w:sz="0" w:space="0" w:color="auto"/>
                                            <w:bottom w:val="none" w:sz="0" w:space="0" w:color="auto"/>
                                            <w:right w:val="none" w:sz="0" w:space="0" w:color="auto"/>
                                          </w:divBdr>
                                          <w:divsChild>
                                            <w:div w:id="13333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838080">
      <w:bodyDiv w:val="1"/>
      <w:marLeft w:val="0"/>
      <w:marRight w:val="0"/>
      <w:marTop w:val="0"/>
      <w:marBottom w:val="0"/>
      <w:divBdr>
        <w:top w:val="none" w:sz="0" w:space="0" w:color="auto"/>
        <w:left w:val="none" w:sz="0" w:space="0" w:color="auto"/>
        <w:bottom w:val="none" w:sz="0" w:space="0" w:color="auto"/>
        <w:right w:val="none" w:sz="0" w:space="0" w:color="auto"/>
      </w:divBdr>
    </w:div>
    <w:div w:id="1016081180">
      <w:bodyDiv w:val="1"/>
      <w:marLeft w:val="0"/>
      <w:marRight w:val="0"/>
      <w:marTop w:val="0"/>
      <w:marBottom w:val="0"/>
      <w:divBdr>
        <w:top w:val="none" w:sz="0" w:space="0" w:color="auto"/>
        <w:left w:val="none" w:sz="0" w:space="0" w:color="auto"/>
        <w:bottom w:val="none" w:sz="0" w:space="0" w:color="auto"/>
        <w:right w:val="none" w:sz="0" w:space="0" w:color="auto"/>
      </w:divBdr>
    </w:div>
    <w:div w:id="1031807898">
      <w:bodyDiv w:val="1"/>
      <w:marLeft w:val="0"/>
      <w:marRight w:val="0"/>
      <w:marTop w:val="0"/>
      <w:marBottom w:val="0"/>
      <w:divBdr>
        <w:top w:val="none" w:sz="0" w:space="0" w:color="auto"/>
        <w:left w:val="none" w:sz="0" w:space="0" w:color="auto"/>
        <w:bottom w:val="none" w:sz="0" w:space="0" w:color="auto"/>
        <w:right w:val="none" w:sz="0" w:space="0" w:color="auto"/>
      </w:divBdr>
    </w:div>
    <w:div w:id="1044597306">
      <w:bodyDiv w:val="1"/>
      <w:marLeft w:val="0"/>
      <w:marRight w:val="0"/>
      <w:marTop w:val="0"/>
      <w:marBottom w:val="0"/>
      <w:divBdr>
        <w:top w:val="none" w:sz="0" w:space="0" w:color="auto"/>
        <w:left w:val="none" w:sz="0" w:space="0" w:color="auto"/>
        <w:bottom w:val="none" w:sz="0" w:space="0" w:color="auto"/>
        <w:right w:val="none" w:sz="0" w:space="0" w:color="auto"/>
      </w:divBdr>
    </w:div>
    <w:div w:id="1048185840">
      <w:bodyDiv w:val="1"/>
      <w:marLeft w:val="0"/>
      <w:marRight w:val="0"/>
      <w:marTop w:val="0"/>
      <w:marBottom w:val="0"/>
      <w:divBdr>
        <w:top w:val="none" w:sz="0" w:space="0" w:color="auto"/>
        <w:left w:val="none" w:sz="0" w:space="0" w:color="auto"/>
        <w:bottom w:val="none" w:sz="0" w:space="0" w:color="auto"/>
        <w:right w:val="none" w:sz="0" w:space="0" w:color="auto"/>
      </w:divBdr>
    </w:div>
    <w:div w:id="1072118938">
      <w:bodyDiv w:val="1"/>
      <w:marLeft w:val="0"/>
      <w:marRight w:val="0"/>
      <w:marTop w:val="0"/>
      <w:marBottom w:val="0"/>
      <w:divBdr>
        <w:top w:val="none" w:sz="0" w:space="0" w:color="auto"/>
        <w:left w:val="none" w:sz="0" w:space="0" w:color="auto"/>
        <w:bottom w:val="none" w:sz="0" w:space="0" w:color="auto"/>
        <w:right w:val="none" w:sz="0" w:space="0" w:color="auto"/>
      </w:divBdr>
    </w:div>
    <w:div w:id="1094131841">
      <w:bodyDiv w:val="1"/>
      <w:marLeft w:val="0"/>
      <w:marRight w:val="0"/>
      <w:marTop w:val="0"/>
      <w:marBottom w:val="0"/>
      <w:divBdr>
        <w:top w:val="none" w:sz="0" w:space="0" w:color="auto"/>
        <w:left w:val="none" w:sz="0" w:space="0" w:color="auto"/>
        <w:bottom w:val="none" w:sz="0" w:space="0" w:color="auto"/>
        <w:right w:val="none" w:sz="0" w:space="0" w:color="auto"/>
      </w:divBdr>
    </w:div>
    <w:div w:id="1117987268">
      <w:bodyDiv w:val="1"/>
      <w:marLeft w:val="0"/>
      <w:marRight w:val="0"/>
      <w:marTop w:val="0"/>
      <w:marBottom w:val="0"/>
      <w:divBdr>
        <w:top w:val="none" w:sz="0" w:space="0" w:color="auto"/>
        <w:left w:val="none" w:sz="0" w:space="0" w:color="auto"/>
        <w:bottom w:val="none" w:sz="0" w:space="0" w:color="auto"/>
        <w:right w:val="none" w:sz="0" w:space="0" w:color="auto"/>
      </w:divBdr>
    </w:div>
    <w:div w:id="1120564495">
      <w:bodyDiv w:val="1"/>
      <w:marLeft w:val="0"/>
      <w:marRight w:val="0"/>
      <w:marTop w:val="0"/>
      <w:marBottom w:val="0"/>
      <w:divBdr>
        <w:top w:val="none" w:sz="0" w:space="0" w:color="auto"/>
        <w:left w:val="none" w:sz="0" w:space="0" w:color="auto"/>
        <w:bottom w:val="none" w:sz="0" w:space="0" w:color="auto"/>
        <w:right w:val="none" w:sz="0" w:space="0" w:color="auto"/>
      </w:divBdr>
    </w:div>
    <w:div w:id="1127553764">
      <w:bodyDiv w:val="1"/>
      <w:marLeft w:val="0"/>
      <w:marRight w:val="0"/>
      <w:marTop w:val="0"/>
      <w:marBottom w:val="0"/>
      <w:divBdr>
        <w:top w:val="none" w:sz="0" w:space="0" w:color="auto"/>
        <w:left w:val="none" w:sz="0" w:space="0" w:color="auto"/>
        <w:bottom w:val="none" w:sz="0" w:space="0" w:color="auto"/>
        <w:right w:val="none" w:sz="0" w:space="0" w:color="auto"/>
      </w:divBdr>
    </w:div>
    <w:div w:id="1154880161">
      <w:bodyDiv w:val="1"/>
      <w:marLeft w:val="0"/>
      <w:marRight w:val="0"/>
      <w:marTop w:val="0"/>
      <w:marBottom w:val="0"/>
      <w:divBdr>
        <w:top w:val="none" w:sz="0" w:space="0" w:color="auto"/>
        <w:left w:val="none" w:sz="0" w:space="0" w:color="auto"/>
        <w:bottom w:val="none" w:sz="0" w:space="0" w:color="auto"/>
        <w:right w:val="none" w:sz="0" w:space="0" w:color="auto"/>
      </w:divBdr>
    </w:div>
    <w:div w:id="1185562180">
      <w:bodyDiv w:val="1"/>
      <w:marLeft w:val="0"/>
      <w:marRight w:val="0"/>
      <w:marTop w:val="0"/>
      <w:marBottom w:val="0"/>
      <w:divBdr>
        <w:top w:val="none" w:sz="0" w:space="0" w:color="auto"/>
        <w:left w:val="none" w:sz="0" w:space="0" w:color="auto"/>
        <w:bottom w:val="none" w:sz="0" w:space="0" w:color="auto"/>
        <w:right w:val="none" w:sz="0" w:space="0" w:color="auto"/>
      </w:divBdr>
    </w:div>
    <w:div w:id="1188786141">
      <w:bodyDiv w:val="1"/>
      <w:marLeft w:val="0"/>
      <w:marRight w:val="0"/>
      <w:marTop w:val="0"/>
      <w:marBottom w:val="0"/>
      <w:divBdr>
        <w:top w:val="none" w:sz="0" w:space="0" w:color="auto"/>
        <w:left w:val="none" w:sz="0" w:space="0" w:color="auto"/>
        <w:bottom w:val="none" w:sz="0" w:space="0" w:color="auto"/>
        <w:right w:val="none" w:sz="0" w:space="0" w:color="auto"/>
      </w:divBdr>
    </w:div>
    <w:div w:id="1310211417">
      <w:bodyDiv w:val="1"/>
      <w:marLeft w:val="0"/>
      <w:marRight w:val="0"/>
      <w:marTop w:val="0"/>
      <w:marBottom w:val="0"/>
      <w:divBdr>
        <w:top w:val="none" w:sz="0" w:space="0" w:color="auto"/>
        <w:left w:val="none" w:sz="0" w:space="0" w:color="auto"/>
        <w:bottom w:val="none" w:sz="0" w:space="0" w:color="auto"/>
        <w:right w:val="none" w:sz="0" w:space="0" w:color="auto"/>
      </w:divBdr>
    </w:div>
    <w:div w:id="1348560085">
      <w:bodyDiv w:val="1"/>
      <w:marLeft w:val="0"/>
      <w:marRight w:val="0"/>
      <w:marTop w:val="0"/>
      <w:marBottom w:val="0"/>
      <w:divBdr>
        <w:top w:val="none" w:sz="0" w:space="0" w:color="auto"/>
        <w:left w:val="none" w:sz="0" w:space="0" w:color="auto"/>
        <w:bottom w:val="none" w:sz="0" w:space="0" w:color="auto"/>
        <w:right w:val="none" w:sz="0" w:space="0" w:color="auto"/>
      </w:divBdr>
    </w:div>
    <w:div w:id="1375619444">
      <w:bodyDiv w:val="1"/>
      <w:marLeft w:val="0"/>
      <w:marRight w:val="0"/>
      <w:marTop w:val="0"/>
      <w:marBottom w:val="0"/>
      <w:divBdr>
        <w:top w:val="none" w:sz="0" w:space="0" w:color="auto"/>
        <w:left w:val="none" w:sz="0" w:space="0" w:color="auto"/>
        <w:bottom w:val="none" w:sz="0" w:space="0" w:color="auto"/>
        <w:right w:val="none" w:sz="0" w:space="0" w:color="auto"/>
      </w:divBdr>
    </w:div>
    <w:div w:id="1379822468">
      <w:bodyDiv w:val="1"/>
      <w:marLeft w:val="0"/>
      <w:marRight w:val="0"/>
      <w:marTop w:val="0"/>
      <w:marBottom w:val="0"/>
      <w:divBdr>
        <w:top w:val="none" w:sz="0" w:space="0" w:color="auto"/>
        <w:left w:val="none" w:sz="0" w:space="0" w:color="auto"/>
        <w:bottom w:val="none" w:sz="0" w:space="0" w:color="auto"/>
        <w:right w:val="none" w:sz="0" w:space="0" w:color="auto"/>
      </w:divBdr>
    </w:div>
    <w:div w:id="1388381531">
      <w:bodyDiv w:val="1"/>
      <w:marLeft w:val="0"/>
      <w:marRight w:val="0"/>
      <w:marTop w:val="0"/>
      <w:marBottom w:val="0"/>
      <w:divBdr>
        <w:top w:val="none" w:sz="0" w:space="0" w:color="auto"/>
        <w:left w:val="none" w:sz="0" w:space="0" w:color="auto"/>
        <w:bottom w:val="none" w:sz="0" w:space="0" w:color="auto"/>
        <w:right w:val="none" w:sz="0" w:space="0" w:color="auto"/>
      </w:divBdr>
    </w:div>
    <w:div w:id="1418595120">
      <w:bodyDiv w:val="1"/>
      <w:marLeft w:val="0"/>
      <w:marRight w:val="0"/>
      <w:marTop w:val="0"/>
      <w:marBottom w:val="0"/>
      <w:divBdr>
        <w:top w:val="none" w:sz="0" w:space="0" w:color="auto"/>
        <w:left w:val="none" w:sz="0" w:space="0" w:color="auto"/>
        <w:bottom w:val="none" w:sz="0" w:space="0" w:color="auto"/>
        <w:right w:val="none" w:sz="0" w:space="0" w:color="auto"/>
      </w:divBdr>
    </w:div>
    <w:div w:id="1425419027">
      <w:bodyDiv w:val="1"/>
      <w:marLeft w:val="0"/>
      <w:marRight w:val="0"/>
      <w:marTop w:val="0"/>
      <w:marBottom w:val="0"/>
      <w:divBdr>
        <w:top w:val="none" w:sz="0" w:space="0" w:color="auto"/>
        <w:left w:val="none" w:sz="0" w:space="0" w:color="auto"/>
        <w:bottom w:val="none" w:sz="0" w:space="0" w:color="auto"/>
        <w:right w:val="none" w:sz="0" w:space="0" w:color="auto"/>
      </w:divBdr>
    </w:div>
    <w:div w:id="1450004725">
      <w:bodyDiv w:val="1"/>
      <w:marLeft w:val="0"/>
      <w:marRight w:val="0"/>
      <w:marTop w:val="0"/>
      <w:marBottom w:val="0"/>
      <w:divBdr>
        <w:top w:val="none" w:sz="0" w:space="0" w:color="auto"/>
        <w:left w:val="none" w:sz="0" w:space="0" w:color="auto"/>
        <w:bottom w:val="none" w:sz="0" w:space="0" w:color="auto"/>
        <w:right w:val="none" w:sz="0" w:space="0" w:color="auto"/>
      </w:divBdr>
      <w:divsChild>
        <w:div w:id="736904276">
          <w:marLeft w:val="0"/>
          <w:marRight w:val="0"/>
          <w:marTop w:val="0"/>
          <w:marBottom w:val="0"/>
          <w:divBdr>
            <w:top w:val="none" w:sz="0" w:space="0" w:color="auto"/>
            <w:left w:val="none" w:sz="0" w:space="0" w:color="auto"/>
            <w:bottom w:val="none" w:sz="0" w:space="0" w:color="auto"/>
            <w:right w:val="none" w:sz="0" w:space="0" w:color="auto"/>
          </w:divBdr>
          <w:divsChild>
            <w:div w:id="1154031175">
              <w:marLeft w:val="20"/>
              <w:marRight w:val="0"/>
              <w:marTop w:val="0"/>
              <w:marBottom w:val="0"/>
              <w:divBdr>
                <w:top w:val="none" w:sz="0" w:space="0" w:color="auto"/>
                <w:left w:val="none" w:sz="0" w:space="0" w:color="auto"/>
                <w:bottom w:val="none" w:sz="0" w:space="0" w:color="auto"/>
                <w:right w:val="none" w:sz="0" w:space="0" w:color="auto"/>
              </w:divBdr>
              <w:divsChild>
                <w:div w:id="1232815868">
                  <w:marLeft w:val="0"/>
                  <w:marRight w:val="0"/>
                  <w:marTop w:val="0"/>
                  <w:marBottom w:val="0"/>
                  <w:divBdr>
                    <w:top w:val="none" w:sz="0" w:space="0" w:color="auto"/>
                    <w:left w:val="none" w:sz="0" w:space="0" w:color="auto"/>
                    <w:bottom w:val="none" w:sz="0" w:space="0" w:color="auto"/>
                    <w:right w:val="none" w:sz="0" w:space="0" w:color="auto"/>
                  </w:divBdr>
                  <w:divsChild>
                    <w:div w:id="464812984">
                      <w:marLeft w:val="0"/>
                      <w:marRight w:val="0"/>
                      <w:marTop w:val="0"/>
                      <w:marBottom w:val="0"/>
                      <w:divBdr>
                        <w:top w:val="none" w:sz="0" w:space="0" w:color="auto"/>
                        <w:left w:val="none" w:sz="0" w:space="0" w:color="auto"/>
                        <w:bottom w:val="none" w:sz="0" w:space="0" w:color="auto"/>
                        <w:right w:val="none" w:sz="0" w:space="0" w:color="auto"/>
                      </w:divBdr>
                      <w:divsChild>
                        <w:div w:id="1914847229">
                          <w:marLeft w:val="0"/>
                          <w:marRight w:val="0"/>
                          <w:marTop w:val="0"/>
                          <w:marBottom w:val="0"/>
                          <w:divBdr>
                            <w:top w:val="none" w:sz="0" w:space="0" w:color="auto"/>
                            <w:left w:val="none" w:sz="0" w:space="0" w:color="auto"/>
                            <w:bottom w:val="none" w:sz="0" w:space="0" w:color="auto"/>
                            <w:right w:val="none" w:sz="0" w:space="0" w:color="auto"/>
                          </w:divBdr>
                          <w:divsChild>
                            <w:div w:id="1470709967">
                              <w:marLeft w:val="0"/>
                              <w:marRight w:val="0"/>
                              <w:marTop w:val="0"/>
                              <w:marBottom w:val="0"/>
                              <w:divBdr>
                                <w:top w:val="none" w:sz="0" w:space="0" w:color="auto"/>
                                <w:left w:val="none" w:sz="0" w:space="0" w:color="auto"/>
                                <w:bottom w:val="none" w:sz="0" w:space="0" w:color="auto"/>
                                <w:right w:val="none" w:sz="0" w:space="0" w:color="auto"/>
                              </w:divBdr>
                              <w:divsChild>
                                <w:div w:id="1163201667">
                                  <w:marLeft w:val="0"/>
                                  <w:marRight w:val="0"/>
                                  <w:marTop w:val="0"/>
                                  <w:marBottom w:val="0"/>
                                  <w:divBdr>
                                    <w:top w:val="none" w:sz="0" w:space="0" w:color="auto"/>
                                    <w:left w:val="none" w:sz="0" w:space="0" w:color="auto"/>
                                    <w:bottom w:val="none" w:sz="0" w:space="0" w:color="auto"/>
                                    <w:right w:val="none" w:sz="0" w:space="0" w:color="auto"/>
                                  </w:divBdr>
                                  <w:divsChild>
                                    <w:div w:id="1367633611">
                                      <w:marLeft w:val="0"/>
                                      <w:marRight w:val="0"/>
                                      <w:marTop w:val="0"/>
                                      <w:marBottom w:val="0"/>
                                      <w:divBdr>
                                        <w:top w:val="none" w:sz="0" w:space="0" w:color="auto"/>
                                        <w:left w:val="none" w:sz="0" w:space="0" w:color="auto"/>
                                        <w:bottom w:val="none" w:sz="0" w:space="0" w:color="auto"/>
                                        <w:right w:val="none" w:sz="0" w:space="0" w:color="auto"/>
                                      </w:divBdr>
                                      <w:divsChild>
                                        <w:div w:id="37903230">
                                          <w:marLeft w:val="0"/>
                                          <w:marRight w:val="0"/>
                                          <w:marTop w:val="0"/>
                                          <w:marBottom w:val="0"/>
                                          <w:divBdr>
                                            <w:top w:val="none" w:sz="0" w:space="0" w:color="auto"/>
                                            <w:left w:val="none" w:sz="0" w:space="0" w:color="auto"/>
                                            <w:bottom w:val="none" w:sz="0" w:space="0" w:color="auto"/>
                                            <w:right w:val="none" w:sz="0" w:space="0" w:color="auto"/>
                                          </w:divBdr>
                                          <w:divsChild>
                                            <w:div w:id="4767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010792">
      <w:bodyDiv w:val="1"/>
      <w:marLeft w:val="0"/>
      <w:marRight w:val="0"/>
      <w:marTop w:val="0"/>
      <w:marBottom w:val="0"/>
      <w:divBdr>
        <w:top w:val="none" w:sz="0" w:space="0" w:color="auto"/>
        <w:left w:val="none" w:sz="0" w:space="0" w:color="auto"/>
        <w:bottom w:val="none" w:sz="0" w:space="0" w:color="auto"/>
        <w:right w:val="none" w:sz="0" w:space="0" w:color="auto"/>
      </w:divBdr>
      <w:divsChild>
        <w:div w:id="443351222">
          <w:marLeft w:val="0"/>
          <w:marRight w:val="0"/>
          <w:marTop w:val="0"/>
          <w:marBottom w:val="0"/>
          <w:divBdr>
            <w:top w:val="none" w:sz="0" w:space="0" w:color="auto"/>
            <w:left w:val="none" w:sz="0" w:space="0" w:color="auto"/>
            <w:bottom w:val="none" w:sz="0" w:space="0" w:color="auto"/>
            <w:right w:val="none" w:sz="0" w:space="0" w:color="auto"/>
          </w:divBdr>
          <w:divsChild>
            <w:div w:id="725689187">
              <w:marLeft w:val="20"/>
              <w:marRight w:val="0"/>
              <w:marTop w:val="0"/>
              <w:marBottom w:val="0"/>
              <w:divBdr>
                <w:top w:val="none" w:sz="0" w:space="0" w:color="auto"/>
                <w:left w:val="none" w:sz="0" w:space="0" w:color="auto"/>
                <w:bottom w:val="none" w:sz="0" w:space="0" w:color="auto"/>
                <w:right w:val="none" w:sz="0" w:space="0" w:color="auto"/>
              </w:divBdr>
              <w:divsChild>
                <w:div w:id="2034916002">
                  <w:marLeft w:val="0"/>
                  <w:marRight w:val="0"/>
                  <w:marTop w:val="0"/>
                  <w:marBottom w:val="0"/>
                  <w:divBdr>
                    <w:top w:val="none" w:sz="0" w:space="0" w:color="auto"/>
                    <w:left w:val="none" w:sz="0" w:space="0" w:color="auto"/>
                    <w:bottom w:val="none" w:sz="0" w:space="0" w:color="auto"/>
                    <w:right w:val="none" w:sz="0" w:space="0" w:color="auto"/>
                  </w:divBdr>
                  <w:divsChild>
                    <w:div w:id="1920946955">
                      <w:marLeft w:val="0"/>
                      <w:marRight w:val="0"/>
                      <w:marTop w:val="0"/>
                      <w:marBottom w:val="0"/>
                      <w:divBdr>
                        <w:top w:val="none" w:sz="0" w:space="0" w:color="auto"/>
                        <w:left w:val="none" w:sz="0" w:space="0" w:color="auto"/>
                        <w:bottom w:val="none" w:sz="0" w:space="0" w:color="auto"/>
                        <w:right w:val="none" w:sz="0" w:space="0" w:color="auto"/>
                      </w:divBdr>
                      <w:divsChild>
                        <w:div w:id="310910131">
                          <w:marLeft w:val="0"/>
                          <w:marRight w:val="0"/>
                          <w:marTop w:val="0"/>
                          <w:marBottom w:val="0"/>
                          <w:divBdr>
                            <w:top w:val="none" w:sz="0" w:space="0" w:color="auto"/>
                            <w:left w:val="none" w:sz="0" w:space="0" w:color="auto"/>
                            <w:bottom w:val="none" w:sz="0" w:space="0" w:color="auto"/>
                            <w:right w:val="none" w:sz="0" w:space="0" w:color="auto"/>
                          </w:divBdr>
                          <w:divsChild>
                            <w:div w:id="32653203">
                              <w:marLeft w:val="0"/>
                              <w:marRight w:val="0"/>
                              <w:marTop w:val="0"/>
                              <w:marBottom w:val="0"/>
                              <w:divBdr>
                                <w:top w:val="none" w:sz="0" w:space="0" w:color="auto"/>
                                <w:left w:val="none" w:sz="0" w:space="0" w:color="auto"/>
                                <w:bottom w:val="none" w:sz="0" w:space="0" w:color="auto"/>
                                <w:right w:val="none" w:sz="0" w:space="0" w:color="auto"/>
                              </w:divBdr>
                              <w:divsChild>
                                <w:div w:id="1302737062">
                                  <w:marLeft w:val="0"/>
                                  <w:marRight w:val="0"/>
                                  <w:marTop w:val="0"/>
                                  <w:marBottom w:val="0"/>
                                  <w:divBdr>
                                    <w:top w:val="none" w:sz="0" w:space="0" w:color="auto"/>
                                    <w:left w:val="none" w:sz="0" w:space="0" w:color="auto"/>
                                    <w:bottom w:val="none" w:sz="0" w:space="0" w:color="auto"/>
                                    <w:right w:val="none" w:sz="0" w:space="0" w:color="auto"/>
                                  </w:divBdr>
                                  <w:divsChild>
                                    <w:div w:id="1334987997">
                                      <w:marLeft w:val="0"/>
                                      <w:marRight w:val="0"/>
                                      <w:marTop w:val="0"/>
                                      <w:marBottom w:val="0"/>
                                      <w:divBdr>
                                        <w:top w:val="none" w:sz="0" w:space="0" w:color="auto"/>
                                        <w:left w:val="none" w:sz="0" w:space="0" w:color="auto"/>
                                        <w:bottom w:val="none" w:sz="0" w:space="0" w:color="auto"/>
                                        <w:right w:val="none" w:sz="0" w:space="0" w:color="auto"/>
                                      </w:divBdr>
                                      <w:divsChild>
                                        <w:div w:id="1952978785">
                                          <w:marLeft w:val="0"/>
                                          <w:marRight w:val="0"/>
                                          <w:marTop w:val="0"/>
                                          <w:marBottom w:val="0"/>
                                          <w:divBdr>
                                            <w:top w:val="none" w:sz="0" w:space="0" w:color="auto"/>
                                            <w:left w:val="none" w:sz="0" w:space="0" w:color="auto"/>
                                            <w:bottom w:val="none" w:sz="0" w:space="0" w:color="auto"/>
                                            <w:right w:val="none" w:sz="0" w:space="0" w:color="auto"/>
                                          </w:divBdr>
                                          <w:divsChild>
                                            <w:div w:id="12704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329615">
      <w:bodyDiv w:val="1"/>
      <w:marLeft w:val="0"/>
      <w:marRight w:val="0"/>
      <w:marTop w:val="0"/>
      <w:marBottom w:val="0"/>
      <w:divBdr>
        <w:top w:val="none" w:sz="0" w:space="0" w:color="auto"/>
        <w:left w:val="none" w:sz="0" w:space="0" w:color="auto"/>
        <w:bottom w:val="none" w:sz="0" w:space="0" w:color="auto"/>
        <w:right w:val="none" w:sz="0" w:space="0" w:color="auto"/>
      </w:divBdr>
    </w:div>
    <w:div w:id="1507937545">
      <w:bodyDiv w:val="1"/>
      <w:marLeft w:val="0"/>
      <w:marRight w:val="0"/>
      <w:marTop w:val="0"/>
      <w:marBottom w:val="0"/>
      <w:divBdr>
        <w:top w:val="none" w:sz="0" w:space="0" w:color="auto"/>
        <w:left w:val="none" w:sz="0" w:space="0" w:color="auto"/>
        <w:bottom w:val="none" w:sz="0" w:space="0" w:color="auto"/>
        <w:right w:val="none" w:sz="0" w:space="0" w:color="auto"/>
      </w:divBdr>
    </w:div>
    <w:div w:id="1562667516">
      <w:bodyDiv w:val="1"/>
      <w:marLeft w:val="0"/>
      <w:marRight w:val="0"/>
      <w:marTop w:val="0"/>
      <w:marBottom w:val="0"/>
      <w:divBdr>
        <w:top w:val="none" w:sz="0" w:space="0" w:color="auto"/>
        <w:left w:val="none" w:sz="0" w:space="0" w:color="auto"/>
        <w:bottom w:val="none" w:sz="0" w:space="0" w:color="auto"/>
        <w:right w:val="none" w:sz="0" w:space="0" w:color="auto"/>
      </w:divBdr>
    </w:div>
    <w:div w:id="1575237981">
      <w:bodyDiv w:val="1"/>
      <w:marLeft w:val="0"/>
      <w:marRight w:val="0"/>
      <w:marTop w:val="0"/>
      <w:marBottom w:val="0"/>
      <w:divBdr>
        <w:top w:val="none" w:sz="0" w:space="0" w:color="auto"/>
        <w:left w:val="none" w:sz="0" w:space="0" w:color="auto"/>
        <w:bottom w:val="none" w:sz="0" w:space="0" w:color="auto"/>
        <w:right w:val="none" w:sz="0" w:space="0" w:color="auto"/>
      </w:divBdr>
    </w:div>
    <w:div w:id="1593009517">
      <w:bodyDiv w:val="1"/>
      <w:marLeft w:val="0"/>
      <w:marRight w:val="0"/>
      <w:marTop w:val="0"/>
      <w:marBottom w:val="0"/>
      <w:divBdr>
        <w:top w:val="none" w:sz="0" w:space="0" w:color="auto"/>
        <w:left w:val="none" w:sz="0" w:space="0" w:color="auto"/>
        <w:bottom w:val="none" w:sz="0" w:space="0" w:color="auto"/>
        <w:right w:val="none" w:sz="0" w:space="0" w:color="auto"/>
      </w:divBdr>
    </w:div>
    <w:div w:id="1641808419">
      <w:bodyDiv w:val="1"/>
      <w:marLeft w:val="0"/>
      <w:marRight w:val="0"/>
      <w:marTop w:val="0"/>
      <w:marBottom w:val="0"/>
      <w:divBdr>
        <w:top w:val="none" w:sz="0" w:space="0" w:color="auto"/>
        <w:left w:val="none" w:sz="0" w:space="0" w:color="auto"/>
        <w:bottom w:val="none" w:sz="0" w:space="0" w:color="auto"/>
        <w:right w:val="none" w:sz="0" w:space="0" w:color="auto"/>
      </w:divBdr>
    </w:div>
    <w:div w:id="1657565827">
      <w:bodyDiv w:val="1"/>
      <w:marLeft w:val="0"/>
      <w:marRight w:val="0"/>
      <w:marTop w:val="0"/>
      <w:marBottom w:val="0"/>
      <w:divBdr>
        <w:top w:val="none" w:sz="0" w:space="0" w:color="auto"/>
        <w:left w:val="none" w:sz="0" w:space="0" w:color="auto"/>
        <w:bottom w:val="none" w:sz="0" w:space="0" w:color="auto"/>
        <w:right w:val="none" w:sz="0" w:space="0" w:color="auto"/>
      </w:divBdr>
      <w:divsChild>
        <w:div w:id="1213612546">
          <w:marLeft w:val="0"/>
          <w:marRight w:val="0"/>
          <w:marTop w:val="0"/>
          <w:marBottom w:val="0"/>
          <w:divBdr>
            <w:top w:val="none" w:sz="0" w:space="0" w:color="auto"/>
            <w:left w:val="none" w:sz="0" w:space="0" w:color="auto"/>
            <w:bottom w:val="none" w:sz="0" w:space="0" w:color="auto"/>
            <w:right w:val="none" w:sz="0" w:space="0" w:color="auto"/>
          </w:divBdr>
          <w:divsChild>
            <w:div w:id="1680111850">
              <w:marLeft w:val="20"/>
              <w:marRight w:val="0"/>
              <w:marTop w:val="0"/>
              <w:marBottom w:val="0"/>
              <w:divBdr>
                <w:top w:val="none" w:sz="0" w:space="0" w:color="auto"/>
                <w:left w:val="none" w:sz="0" w:space="0" w:color="auto"/>
                <w:bottom w:val="none" w:sz="0" w:space="0" w:color="auto"/>
                <w:right w:val="none" w:sz="0" w:space="0" w:color="auto"/>
              </w:divBdr>
              <w:divsChild>
                <w:div w:id="471943586">
                  <w:marLeft w:val="0"/>
                  <w:marRight w:val="0"/>
                  <w:marTop w:val="0"/>
                  <w:marBottom w:val="0"/>
                  <w:divBdr>
                    <w:top w:val="none" w:sz="0" w:space="0" w:color="auto"/>
                    <w:left w:val="none" w:sz="0" w:space="0" w:color="auto"/>
                    <w:bottom w:val="none" w:sz="0" w:space="0" w:color="auto"/>
                    <w:right w:val="none" w:sz="0" w:space="0" w:color="auto"/>
                  </w:divBdr>
                  <w:divsChild>
                    <w:div w:id="838613952">
                      <w:marLeft w:val="0"/>
                      <w:marRight w:val="0"/>
                      <w:marTop w:val="0"/>
                      <w:marBottom w:val="0"/>
                      <w:divBdr>
                        <w:top w:val="none" w:sz="0" w:space="0" w:color="auto"/>
                        <w:left w:val="none" w:sz="0" w:space="0" w:color="auto"/>
                        <w:bottom w:val="none" w:sz="0" w:space="0" w:color="auto"/>
                        <w:right w:val="none" w:sz="0" w:space="0" w:color="auto"/>
                      </w:divBdr>
                      <w:divsChild>
                        <w:div w:id="2087415478">
                          <w:marLeft w:val="0"/>
                          <w:marRight w:val="0"/>
                          <w:marTop w:val="0"/>
                          <w:marBottom w:val="0"/>
                          <w:divBdr>
                            <w:top w:val="none" w:sz="0" w:space="0" w:color="auto"/>
                            <w:left w:val="none" w:sz="0" w:space="0" w:color="auto"/>
                            <w:bottom w:val="none" w:sz="0" w:space="0" w:color="auto"/>
                            <w:right w:val="none" w:sz="0" w:space="0" w:color="auto"/>
                          </w:divBdr>
                          <w:divsChild>
                            <w:div w:id="1284459812">
                              <w:marLeft w:val="0"/>
                              <w:marRight w:val="0"/>
                              <w:marTop w:val="0"/>
                              <w:marBottom w:val="0"/>
                              <w:divBdr>
                                <w:top w:val="none" w:sz="0" w:space="0" w:color="auto"/>
                                <w:left w:val="none" w:sz="0" w:space="0" w:color="auto"/>
                                <w:bottom w:val="none" w:sz="0" w:space="0" w:color="auto"/>
                                <w:right w:val="none" w:sz="0" w:space="0" w:color="auto"/>
                              </w:divBdr>
                              <w:divsChild>
                                <w:div w:id="1198854069">
                                  <w:marLeft w:val="0"/>
                                  <w:marRight w:val="0"/>
                                  <w:marTop w:val="0"/>
                                  <w:marBottom w:val="0"/>
                                  <w:divBdr>
                                    <w:top w:val="none" w:sz="0" w:space="0" w:color="auto"/>
                                    <w:left w:val="none" w:sz="0" w:space="0" w:color="auto"/>
                                    <w:bottom w:val="none" w:sz="0" w:space="0" w:color="auto"/>
                                    <w:right w:val="none" w:sz="0" w:space="0" w:color="auto"/>
                                  </w:divBdr>
                                  <w:divsChild>
                                    <w:div w:id="1328434798">
                                      <w:marLeft w:val="0"/>
                                      <w:marRight w:val="0"/>
                                      <w:marTop w:val="0"/>
                                      <w:marBottom w:val="0"/>
                                      <w:divBdr>
                                        <w:top w:val="none" w:sz="0" w:space="0" w:color="auto"/>
                                        <w:left w:val="none" w:sz="0" w:space="0" w:color="auto"/>
                                        <w:bottom w:val="none" w:sz="0" w:space="0" w:color="auto"/>
                                        <w:right w:val="none" w:sz="0" w:space="0" w:color="auto"/>
                                      </w:divBdr>
                                      <w:divsChild>
                                        <w:div w:id="1394044938">
                                          <w:marLeft w:val="0"/>
                                          <w:marRight w:val="0"/>
                                          <w:marTop w:val="0"/>
                                          <w:marBottom w:val="0"/>
                                          <w:divBdr>
                                            <w:top w:val="none" w:sz="0" w:space="0" w:color="auto"/>
                                            <w:left w:val="none" w:sz="0" w:space="0" w:color="auto"/>
                                            <w:bottom w:val="none" w:sz="0" w:space="0" w:color="auto"/>
                                            <w:right w:val="none" w:sz="0" w:space="0" w:color="auto"/>
                                          </w:divBdr>
                                          <w:divsChild>
                                            <w:div w:id="791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421964">
      <w:bodyDiv w:val="1"/>
      <w:marLeft w:val="0"/>
      <w:marRight w:val="0"/>
      <w:marTop w:val="0"/>
      <w:marBottom w:val="0"/>
      <w:divBdr>
        <w:top w:val="none" w:sz="0" w:space="0" w:color="auto"/>
        <w:left w:val="none" w:sz="0" w:space="0" w:color="auto"/>
        <w:bottom w:val="none" w:sz="0" w:space="0" w:color="auto"/>
        <w:right w:val="none" w:sz="0" w:space="0" w:color="auto"/>
      </w:divBdr>
      <w:divsChild>
        <w:div w:id="29574768">
          <w:marLeft w:val="0"/>
          <w:marRight w:val="0"/>
          <w:marTop w:val="0"/>
          <w:marBottom w:val="0"/>
          <w:divBdr>
            <w:top w:val="none" w:sz="0" w:space="0" w:color="auto"/>
            <w:left w:val="none" w:sz="0" w:space="0" w:color="auto"/>
            <w:bottom w:val="none" w:sz="0" w:space="0" w:color="auto"/>
            <w:right w:val="none" w:sz="0" w:space="0" w:color="auto"/>
          </w:divBdr>
          <w:divsChild>
            <w:div w:id="2112314331">
              <w:marLeft w:val="20"/>
              <w:marRight w:val="0"/>
              <w:marTop w:val="0"/>
              <w:marBottom w:val="0"/>
              <w:divBdr>
                <w:top w:val="none" w:sz="0" w:space="0" w:color="auto"/>
                <w:left w:val="none" w:sz="0" w:space="0" w:color="auto"/>
                <w:bottom w:val="none" w:sz="0" w:space="0" w:color="auto"/>
                <w:right w:val="none" w:sz="0" w:space="0" w:color="auto"/>
              </w:divBdr>
              <w:divsChild>
                <w:div w:id="1445463544">
                  <w:marLeft w:val="0"/>
                  <w:marRight w:val="0"/>
                  <w:marTop w:val="0"/>
                  <w:marBottom w:val="0"/>
                  <w:divBdr>
                    <w:top w:val="none" w:sz="0" w:space="0" w:color="auto"/>
                    <w:left w:val="none" w:sz="0" w:space="0" w:color="auto"/>
                    <w:bottom w:val="none" w:sz="0" w:space="0" w:color="auto"/>
                    <w:right w:val="none" w:sz="0" w:space="0" w:color="auto"/>
                  </w:divBdr>
                  <w:divsChild>
                    <w:div w:id="341515356">
                      <w:marLeft w:val="0"/>
                      <w:marRight w:val="0"/>
                      <w:marTop w:val="0"/>
                      <w:marBottom w:val="0"/>
                      <w:divBdr>
                        <w:top w:val="none" w:sz="0" w:space="0" w:color="auto"/>
                        <w:left w:val="none" w:sz="0" w:space="0" w:color="auto"/>
                        <w:bottom w:val="none" w:sz="0" w:space="0" w:color="auto"/>
                        <w:right w:val="none" w:sz="0" w:space="0" w:color="auto"/>
                      </w:divBdr>
                      <w:divsChild>
                        <w:div w:id="892740361">
                          <w:marLeft w:val="0"/>
                          <w:marRight w:val="0"/>
                          <w:marTop w:val="0"/>
                          <w:marBottom w:val="0"/>
                          <w:divBdr>
                            <w:top w:val="none" w:sz="0" w:space="0" w:color="auto"/>
                            <w:left w:val="none" w:sz="0" w:space="0" w:color="auto"/>
                            <w:bottom w:val="none" w:sz="0" w:space="0" w:color="auto"/>
                            <w:right w:val="none" w:sz="0" w:space="0" w:color="auto"/>
                          </w:divBdr>
                          <w:divsChild>
                            <w:div w:id="1086346481">
                              <w:marLeft w:val="0"/>
                              <w:marRight w:val="0"/>
                              <w:marTop w:val="0"/>
                              <w:marBottom w:val="0"/>
                              <w:divBdr>
                                <w:top w:val="none" w:sz="0" w:space="0" w:color="auto"/>
                                <w:left w:val="none" w:sz="0" w:space="0" w:color="auto"/>
                                <w:bottom w:val="none" w:sz="0" w:space="0" w:color="auto"/>
                                <w:right w:val="none" w:sz="0" w:space="0" w:color="auto"/>
                              </w:divBdr>
                              <w:divsChild>
                                <w:div w:id="90012840">
                                  <w:marLeft w:val="0"/>
                                  <w:marRight w:val="0"/>
                                  <w:marTop w:val="0"/>
                                  <w:marBottom w:val="0"/>
                                  <w:divBdr>
                                    <w:top w:val="none" w:sz="0" w:space="0" w:color="auto"/>
                                    <w:left w:val="none" w:sz="0" w:space="0" w:color="auto"/>
                                    <w:bottom w:val="none" w:sz="0" w:space="0" w:color="auto"/>
                                    <w:right w:val="none" w:sz="0" w:space="0" w:color="auto"/>
                                  </w:divBdr>
                                  <w:divsChild>
                                    <w:div w:id="1762678074">
                                      <w:marLeft w:val="0"/>
                                      <w:marRight w:val="0"/>
                                      <w:marTop w:val="0"/>
                                      <w:marBottom w:val="0"/>
                                      <w:divBdr>
                                        <w:top w:val="none" w:sz="0" w:space="0" w:color="auto"/>
                                        <w:left w:val="none" w:sz="0" w:space="0" w:color="auto"/>
                                        <w:bottom w:val="none" w:sz="0" w:space="0" w:color="auto"/>
                                        <w:right w:val="none" w:sz="0" w:space="0" w:color="auto"/>
                                      </w:divBdr>
                                      <w:divsChild>
                                        <w:div w:id="2132437503">
                                          <w:marLeft w:val="0"/>
                                          <w:marRight w:val="0"/>
                                          <w:marTop w:val="0"/>
                                          <w:marBottom w:val="0"/>
                                          <w:divBdr>
                                            <w:top w:val="none" w:sz="0" w:space="0" w:color="auto"/>
                                            <w:left w:val="none" w:sz="0" w:space="0" w:color="auto"/>
                                            <w:bottom w:val="none" w:sz="0" w:space="0" w:color="auto"/>
                                            <w:right w:val="none" w:sz="0" w:space="0" w:color="auto"/>
                                          </w:divBdr>
                                          <w:divsChild>
                                            <w:div w:id="15391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680343">
      <w:bodyDiv w:val="1"/>
      <w:marLeft w:val="0"/>
      <w:marRight w:val="0"/>
      <w:marTop w:val="0"/>
      <w:marBottom w:val="0"/>
      <w:divBdr>
        <w:top w:val="none" w:sz="0" w:space="0" w:color="auto"/>
        <w:left w:val="none" w:sz="0" w:space="0" w:color="auto"/>
        <w:bottom w:val="none" w:sz="0" w:space="0" w:color="auto"/>
        <w:right w:val="none" w:sz="0" w:space="0" w:color="auto"/>
      </w:divBdr>
    </w:div>
    <w:div w:id="1672946974">
      <w:bodyDiv w:val="1"/>
      <w:marLeft w:val="0"/>
      <w:marRight w:val="0"/>
      <w:marTop w:val="0"/>
      <w:marBottom w:val="0"/>
      <w:divBdr>
        <w:top w:val="none" w:sz="0" w:space="0" w:color="auto"/>
        <w:left w:val="none" w:sz="0" w:space="0" w:color="auto"/>
        <w:bottom w:val="none" w:sz="0" w:space="0" w:color="auto"/>
        <w:right w:val="none" w:sz="0" w:space="0" w:color="auto"/>
      </w:divBdr>
    </w:div>
    <w:div w:id="1690830386">
      <w:bodyDiv w:val="1"/>
      <w:marLeft w:val="0"/>
      <w:marRight w:val="0"/>
      <w:marTop w:val="0"/>
      <w:marBottom w:val="0"/>
      <w:divBdr>
        <w:top w:val="none" w:sz="0" w:space="0" w:color="auto"/>
        <w:left w:val="none" w:sz="0" w:space="0" w:color="auto"/>
        <w:bottom w:val="none" w:sz="0" w:space="0" w:color="auto"/>
        <w:right w:val="none" w:sz="0" w:space="0" w:color="auto"/>
      </w:divBdr>
    </w:div>
    <w:div w:id="1743137940">
      <w:bodyDiv w:val="1"/>
      <w:marLeft w:val="0"/>
      <w:marRight w:val="0"/>
      <w:marTop w:val="0"/>
      <w:marBottom w:val="0"/>
      <w:divBdr>
        <w:top w:val="none" w:sz="0" w:space="0" w:color="auto"/>
        <w:left w:val="none" w:sz="0" w:space="0" w:color="auto"/>
        <w:bottom w:val="none" w:sz="0" w:space="0" w:color="auto"/>
        <w:right w:val="none" w:sz="0" w:space="0" w:color="auto"/>
      </w:divBdr>
    </w:div>
    <w:div w:id="1749502870">
      <w:bodyDiv w:val="1"/>
      <w:marLeft w:val="0"/>
      <w:marRight w:val="0"/>
      <w:marTop w:val="0"/>
      <w:marBottom w:val="0"/>
      <w:divBdr>
        <w:top w:val="none" w:sz="0" w:space="0" w:color="auto"/>
        <w:left w:val="none" w:sz="0" w:space="0" w:color="auto"/>
        <w:bottom w:val="none" w:sz="0" w:space="0" w:color="auto"/>
        <w:right w:val="none" w:sz="0" w:space="0" w:color="auto"/>
      </w:divBdr>
    </w:div>
    <w:div w:id="1792818415">
      <w:bodyDiv w:val="1"/>
      <w:marLeft w:val="0"/>
      <w:marRight w:val="0"/>
      <w:marTop w:val="0"/>
      <w:marBottom w:val="0"/>
      <w:divBdr>
        <w:top w:val="none" w:sz="0" w:space="0" w:color="auto"/>
        <w:left w:val="none" w:sz="0" w:space="0" w:color="auto"/>
        <w:bottom w:val="none" w:sz="0" w:space="0" w:color="auto"/>
        <w:right w:val="none" w:sz="0" w:space="0" w:color="auto"/>
      </w:divBdr>
    </w:div>
    <w:div w:id="1808545548">
      <w:bodyDiv w:val="1"/>
      <w:marLeft w:val="0"/>
      <w:marRight w:val="0"/>
      <w:marTop w:val="0"/>
      <w:marBottom w:val="0"/>
      <w:divBdr>
        <w:top w:val="none" w:sz="0" w:space="0" w:color="auto"/>
        <w:left w:val="none" w:sz="0" w:space="0" w:color="auto"/>
        <w:bottom w:val="none" w:sz="0" w:space="0" w:color="auto"/>
        <w:right w:val="none" w:sz="0" w:space="0" w:color="auto"/>
      </w:divBdr>
    </w:div>
    <w:div w:id="1824353650">
      <w:bodyDiv w:val="1"/>
      <w:marLeft w:val="0"/>
      <w:marRight w:val="0"/>
      <w:marTop w:val="0"/>
      <w:marBottom w:val="0"/>
      <w:divBdr>
        <w:top w:val="none" w:sz="0" w:space="0" w:color="auto"/>
        <w:left w:val="none" w:sz="0" w:space="0" w:color="auto"/>
        <w:bottom w:val="none" w:sz="0" w:space="0" w:color="auto"/>
        <w:right w:val="none" w:sz="0" w:space="0" w:color="auto"/>
      </w:divBdr>
    </w:div>
    <w:div w:id="1883664208">
      <w:bodyDiv w:val="1"/>
      <w:marLeft w:val="0"/>
      <w:marRight w:val="0"/>
      <w:marTop w:val="0"/>
      <w:marBottom w:val="0"/>
      <w:divBdr>
        <w:top w:val="none" w:sz="0" w:space="0" w:color="auto"/>
        <w:left w:val="none" w:sz="0" w:space="0" w:color="auto"/>
        <w:bottom w:val="none" w:sz="0" w:space="0" w:color="auto"/>
        <w:right w:val="none" w:sz="0" w:space="0" w:color="auto"/>
      </w:divBdr>
      <w:divsChild>
        <w:div w:id="802965759">
          <w:marLeft w:val="0"/>
          <w:marRight w:val="0"/>
          <w:marTop w:val="0"/>
          <w:marBottom w:val="0"/>
          <w:divBdr>
            <w:top w:val="none" w:sz="0" w:space="0" w:color="auto"/>
            <w:left w:val="none" w:sz="0" w:space="0" w:color="auto"/>
            <w:bottom w:val="none" w:sz="0" w:space="0" w:color="auto"/>
            <w:right w:val="none" w:sz="0" w:space="0" w:color="auto"/>
          </w:divBdr>
          <w:divsChild>
            <w:div w:id="203055996">
              <w:marLeft w:val="20"/>
              <w:marRight w:val="0"/>
              <w:marTop w:val="0"/>
              <w:marBottom w:val="0"/>
              <w:divBdr>
                <w:top w:val="none" w:sz="0" w:space="0" w:color="auto"/>
                <w:left w:val="none" w:sz="0" w:space="0" w:color="auto"/>
                <w:bottom w:val="none" w:sz="0" w:space="0" w:color="auto"/>
                <w:right w:val="none" w:sz="0" w:space="0" w:color="auto"/>
              </w:divBdr>
              <w:divsChild>
                <w:div w:id="1040087669">
                  <w:marLeft w:val="0"/>
                  <w:marRight w:val="0"/>
                  <w:marTop w:val="0"/>
                  <w:marBottom w:val="0"/>
                  <w:divBdr>
                    <w:top w:val="none" w:sz="0" w:space="0" w:color="auto"/>
                    <w:left w:val="none" w:sz="0" w:space="0" w:color="auto"/>
                    <w:bottom w:val="none" w:sz="0" w:space="0" w:color="auto"/>
                    <w:right w:val="none" w:sz="0" w:space="0" w:color="auto"/>
                  </w:divBdr>
                  <w:divsChild>
                    <w:div w:id="1555313352">
                      <w:marLeft w:val="0"/>
                      <w:marRight w:val="0"/>
                      <w:marTop w:val="0"/>
                      <w:marBottom w:val="0"/>
                      <w:divBdr>
                        <w:top w:val="none" w:sz="0" w:space="0" w:color="auto"/>
                        <w:left w:val="none" w:sz="0" w:space="0" w:color="auto"/>
                        <w:bottom w:val="none" w:sz="0" w:space="0" w:color="auto"/>
                        <w:right w:val="none" w:sz="0" w:space="0" w:color="auto"/>
                      </w:divBdr>
                      <w:divsChild>
                        <w:div w:id="1368870365">
                          <w:marLeft w:val="0"/>
                          <w:marRight w:val="0"/>
                          <w:marTop w:val="0"/>
                          <w:marBottom w:val="0"/>
                          <w:divBdr>
                            <w:top w:val="none" w:sz="0" w:space="0" w:color="auto"/>
                            <w:left w:val="none" w:sz="0" w:space="0" w:color="auto"/>
                            <w:bottom w:val="none" w:sz="0" w:space="0" w:color="auto"/>
                            <w:right w:val="none" w:sz="0" w:space="0" w:color="auto"/>
                          </w:divBdr>
                          <w:divsChild>
                            <w:div w:id="1045762468">
                              <w:marLeft w:val="0"/>
                              <w:marRight w:val="0"/>
                              <w:marTop w:val="0"/>
                              <w:marBottom w:val="0"/>
                              <w:divBdr>
                                <w:top w:val="none" w:sz="0" w:space="0" w:color="auto"/>
                                <w:left w:val="none" w:sz="0" w:space="0" w:color="auto"/>
                                <w:bottom w:val="none" w:sz="0" w:space="0" w:color="auto"/>
                                <w:right w:val="none" w:sz="0" w:space="0" w:color="auto"/>
                              </w:divBdr>
                              <w:divsChild>
                                <w:div w:id="2030056681">
                                  <w:marLeft w:val="0"/>
                                  <w:marRight w:val="0"/>
                                  <w:marTop w:val="0"/>
                                  <w:marBottom w:val="0"/>
                                  <w:divBdr>
                                    <w:top w:val="none" w:sz="0" w:space="0" w:color="auto"/>
                                    <w:left w:val="none" w:sz="0" w:space="0" w:color="auto"/>
                                    <w:bottom w:val="none" w:sz="0" w:space="0" w:color="auto"/>
                                    <w:right w:val="none" w:sz="0" w:space="0" w:color="auto"/>
                                  </w:divBdr>
                                  <w:divsChild>
                                    <w:div w:id="500856852">
                                      <w:marLeft w:val="0"/>
                                      <w:marRight w:val="0"/>
                                      <w:marTop w:val="0"/>
                                      <w:marBottom w:val="0"/>
                                      <w:divBdr>
                                        <w:top w:val="none" w:sz="0" w:space="0" w:color="auto"/>
                                        <w:left w:val="none" w:sz="0" w:space="0" w:color="auto"/>
                                        <w:bottom w:val="none" w:sz="0" w:space="0" w:color="auto"/>
                                        <w:right w:val="none" w:sz="0" w:space="0" w:color="auto"/>
                                      </w:divBdr>
                                      <w:divsChild>
                                        <w:div w:id="2076707376">
                                          <w:marLeft w:val="0"/>
                                          <w:marRight w:val="0"/>
                                          <w:marTop w:val="0"/>
                                          <w:marBottom w:val="0"/>
                                          <w:divBdr>
                                            <w:top w:val="none" w:sz="0" w:space="0" w:color="auto"/>
                                            <w:left w:val="none" w:sz="0" w:space="0" w:color="auto"/>
                                            <w:bottom w:val="none" w:sz="0" w:space="0" w:color="auto"/>
                                            <w:right w:val="none" w:sz="0" w:space="0" w:color="auto"/>
                                          </w:divBdr>
                                          <w:divsChild>
                                            <w:div w:id="18265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727005">
      <w:bodyDiv w:val="1"/>
      <w:marLeft w:val="0"/>
      <w:marRight w:val="0"/>
      <w:marTop w:val="0"/>
      <w:marBottom w:val="0"/>
      <w:divBdr>
        <w:top w:val="none" w:sz="0" w:space="0" w:color="auto"/>
        <w:left w:val="none" w:sz="0" w:space="0" w:color="auto"/>
        <w:bottom w:val="none" w:sz="0" w:space="0" w:color="auto"/>
        <w:right w:val="none" w:sz="0" w:space="0" w:color="auto"/>
      </w:divBdr>
    </w:div>
    <w:div w:id="1954896139">
      <w:bodyDiv w:val="1"/>
      <w:marLeft w:val="0"/>
      <w:marRight w:val="0"/>
      <w:marTop w:val="0"/>
      <w:marBottom w:val="0"/>
      <w:divBdr>
        <w:top w:val="none" w:sz="0" w:space="0" w:color="auto"/>
        <w:left w:val="none" w:sz="0" w:space="0" w:color="auto"/>
        <w:bottom w:val="none" w:sz="0" w:space="0" w:color="auto"/>
        <w:right w:val="none" w:sz="0" w:space="0" w:color="auto"/>
      </w:divBdr>
    </w:div>
    <w:div w:id="1973362852">
      <w:bodyDiv w:val="1"/>
      <w:marLeft w:val="0"/>
      <w:marRight w:val="0"/>
      <w:marTop w:val="0"/>
      <w:marBottom w:val="0"/>
      <w:divBdr>
        <w:top w:val="none" w:sz="0" w:space="0" w:color="auto"/>
        <w:left w:val="none" w:sz="0" w:space="0" w:color="auto"/>
        <w:bottom w:val="none" w:sz="0" w:space="0" w:color="auto"/>
        <w:right w:val="none" w:sz="0" w:space="0" w:color="auto"/>
      </w:divBdr>
      <w:divsChild>
        <w:div w:id="1918397991">
          <w:marLeft w:val="0"/>
          <w:marRight w:val="0"/>
          <w:marTop w:val="0"/>
          <w:marBottom w:val="0"/>
          <w:divBdr>
            <w:top w:val="none" w:sz="0" w:space="0" w:color="auto"/>
            <w:left w:val="none" w:sz="0" w:space="0" w:color="auto"/>
            <w:bottom w:val="none" w:sz="0" w:space="0" w:color="auto"/>
            <w:right w:val="none" w:sz="0" w:space="0" w:color="auto"/>
          </w:divBdr>
          <w:divsChild>
            <w:div w:id="1357848958">
              <w:marLeft w:val="20"/>
              <w:marRight w:val="0"/>
              <w:marTop w:val="0"/>
              <w:marBottom w:val="0"/>
              <w:divBdr>
                <w:top w:val="none" w:sz="0" w:space="0" w:color="auto"/>
                <w:left w:val="none" w:sz="0" w:space="0" w:color="auto"/>
                <w:bottom w:val="none" w:sz="0" w:space="0" w:color="auto"/>
                <w:right w:val="none" w:sz="0" w:space="0" w:color="auto"/>
              </w:divBdr>
              <w:divsChild>
                <w:div w:id="619460931">
                  <w:marLeft w:val="0"/>
                  <w:marRight w:val="0"/>
                  <w:marTop w:val="0"/>
                  <w:marBottom w:val="0"/>
                  <w:divBdr>
                    <w:top w:val="none" w:sz="0" w:space="0" w:color="auto"/>
                    <w:left w:val="none" w:sz="0" w:space="0" w:color="auto"/>
                    <w:bottom w:val="none" w:sz="0" w:space="0" w:color="auto"/>
                    <w:right w:val="none" w:sz="0" w:space="0" w:color="auto"/>
                  </w:divBdr>
                  <w:divsChild>
                    <w:div w:id="747843432">
                      <w:marLeft w:val="0"/>
                      <w:marRight w:val="0"/>
                      <w:marTop w:val="0"/>
                      <w:marBottom w:val="0"/>
                      <w:divBdr>
                        <w:top w:val="none" w:sz="0" w:space="0" w:color="auto"/>
                        <w:left w:val="none" w:sz="0" w:space="0" w:color="auto"/>
                        <w:bottom w:val="none" w:sz="0" w:space="0" w:color="auto"/>
                        <w:right w:val="none" w:sz="0" w:space="0" w:color="auto"/>
                      </w:divBdr>
                      <w:divsChild>
                        <w:div w:id="899251177">
                          <w:marLeft w:val="0"/>
                          <w:marRight w:val="0"/>
                          <w:marTop w:val="0"/>
                          <w:marBottom w:val="0"/>
                          <w:divBdr>
                            <w:top w:val="none" w:sz="0" w:space="0" w:color="auto"/>
                            <w:left w:val="none" w:sz="0" w:space="0" w:color="auto"/>
                            <w:bottom w:val="none" w:sz="0" w:space="0" w:color="auto"/>
                            <w:right w:val="none" w:sz="0" w:space="0" w:color="auto"/>
                          </w:divBdr>
                          <w:divsChild>
                            <w:div w:id="813639157">
                              <w:marLeft w:val="0"/>
                              <w:marRight w:val="0"/>
                              <w:marTop w:val="0"/>
                              <w:marBottom w:val="0"/>
                              <w:divBdr>
                                <w:top w:val="none" w:sz="0" w:space="0" w:color="auto"/>
                                <w:left w:val="none" w:sz="0" w:space="0" w:color="auto"/>
                                <w:bottom w:val="none" w:sz="0" w:space="0" w:color="auto"/>
                                <w:right w:val="none" w:sz="0" w:space="0" w:color="auto"/>
                              </w:divBdr>
                              <w:divsChild>
                                <w:div w:id="264701378">
                                  <w:marLeft w:val="0"/>
                                  <w:marRight w:val="0"/>
                                  <w:marTop w:val="0"/>
                                  <w:marBottom w:val="0"/>
                                  <w:divBdr>
                                    <w:top w:val="none" w:sz="0" w:space="0" w:color="auto"/>
                                    <w:left w:val="none" w:sz="0" w:space="0" w:color="auto"/>
                                    <w:bottom w:val="none" w:sz="0" w:space="0" w:color="auto"/>
                                    <w:right w:val="none" w:sz="0" w:space="0" w:color="auto"/>
                                  </w:divBdr>
                                  <w:divsChild>
                                    <w:div w:id="870997384">
                                      <w:marLeft w:val="0"/>
                                      <w:marRight w:val="0"/>
                                      <w:marTop w:val="0"/>
                                      <w:marBottom w:val="0"/>
                                      <w:divBdr>
                                        <w:top w:val="none" w:sz="0" w:space="0" w:color="auto"/>
                                        <w:left w:val="none" w:sz="0" w:space="0" w:color="auto"/>
                                        <w:bottom w:val="none" w:sz="0" w:space="0" w:color="auto"/>
                                        <w:right w:val="none" w:sz="0" w:space="0" w:color="auto"/>
                                      </w:divBdr>
                                      <w:divsChild>
                                        <w:div w:id="1360617902">
                                          <w:marLeft w:val="0"/>
                                          <w:marRight w:val="0"/>
                                          <w:marTop w:val="0"/>
                                          <w:marBottom w:val="0"/>
                                          <w:divBdr>
                                            <w:top w:val="none" w:sz="0" w:space="0" w:color="auto"/>
                                            <w:left w:val="none" w:sz="0" w:space="0" w:color="auto"/>
                                            <w:bottom w:val="none" w:sz="0" w:space="0" w:color="auto"/>
                                            <w:right w:val="none" w:sz="0" w:space="0" w:color="auto"/>
                                          </w:divBdr>
                                          <w:divsChild>
                                            <w:div w:id="21381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762449">
      <w:bodyDiv w:val="1"/>
      <w:marLeft w:val="0"/>
      <w:marRight w:val="0"/>
      <w:marTop w:val="0"/>
      <w:marBottom w:val="0"/>
      <w:divBdr>
        <w:top w:val="none" w:sz="0" w:space="0" w:color="auto"/>
        <w:left w:val="none" w:sz="0" w:space="0" w:color="auto"/>
        <w:bottom w:val="none" w:sz="0" w:space="0" w:color="auto"/>
        <w:right w:val="none" w:sz="0" w:space="0" w:color="auto"/>
      </w:divBdr>
    </w:div>
    <w:div w:id="1981381099">
      <w:bodyDiv w:val="1"/>
      <w:marLeft w:val="0"/>
      <w:marRight w:val="0"/>
      <w:marTop w:val="0"/>
      <w:marBottom w:val="0"/>
      <w:divBdr>
        <w:top w:val="none" w:sz="0" w:space="0" w:color="auto"/>
        <w:left w:val="none" w:sz="0" w:space="0" w:color="auto"/>
        <w:bottom w:val="none" w:sz="0" w:space="0" w:color="auto"/>
        <w:right w:val="none" w:sz="0" w:space="0" w:color="auto"/>
      </w:divBdr>
    </w:div>
    <w:div w:id="1981810292">
      <w:bodyDiv w:val="1"/>
      <w:marLeft w:val="0"/>
      <w:marRight w:val="0"/>
      <w:marTop w:val="0"/>
      <w:marBottom w:val="0"/>
      <w:divBdr>
        <w:top w:val="none" w:sz="0" w:space="0" w:color="auto"/>
        <w:left w:val="none" w:sz="0" w:space="0" w:color="auto"/>
        <w:bottom w:val="none" w:sz="0" w:space="0" w:color="auto"/>
        <w:right w:val="none" w:sz="0" w:space="0" w:color="auto"/>
      </w:divBdr>
      <w:divsChild>
        <w:div w:id="1339430620">
          <w:marLeft w:val="0"/>
          <w:marRight w:val="0"/>
          <w:marTop w:val="0"/>
          <w:marBottom w:val="0"/>
          <w:divBdr>
            <w:top w:val="none" w:sz="0" w:space="0" w:color="auto"/>
            <w:left w:val="none" w:sz="0" w:space="0" w:color="auto"/>
            <w:bottom w:val="none" w:sz="0" w:space="0" w:color="auto"/>
            <w:right w:val="none" w:sz="0" w:space="0" w:color="auto"/>
          </w:divBdr>
          <w:divsChild>
            <w:div w:id="137068088">
              <w:marLeft w:val="20"/>
              <w:marRight w:val="0"/>
              <w:marTop w:val="0"/>
              <w:marBottom w:val="0"/>
              <w:divBdr>
                <w:top w:val="none" w:sz="0" w:space="0" w:color="auto"/>
                <w:left w:val="none" w:sz="0" w:space="0" w:color="auto"/>
                <w:bottom w:val="none" w:sz="0" w:space="0" w:color="auto"/>
                <w:right w:val="none" w:sz="0" w:space="0" w:color="auto"/>
              </w:divBdr>
              <w:divsChild>
                <w:div w:id="1649892829">
                  <w:marLeft w:val="0"/>
                  <w:marRight w:val="0"/>
                  <w:marTop w:val="0"/>
                  <w:marBottom w:val="0"/>
                  <w:divBdr>
                    <w:top w:val="none" w:sz="0" w:space="0" w:color="auto"/>
                    <w:left w:val="none" w:sz="0" w:space="0" w:color="auto"/>
                    <w:bottom w:val="none" w:sz="0" w:space="0" w:color="auto"/>
                    <w:right w:val="none" w:sz="0" w:space="0" w:color="auto"/>
                  </w:divBdr>
                  <w:divsChild>
                    <w:div w:id="1118643117">
                      <w:marLeft w:val="0"/>
                      <w:marRight w:val="0"/>
                      <w:marTop w:val="0"/>
                      <w:marBottom w:val="0"/>
                      <w:divBdr>
                        <w:top w:val="none" w:sz="0" w:space="0" w:color="auto"/>
                        <w:left w:val="none" w:sz="0" w:space="0" w:color="auto"/>
                        <w:bottom w:val="none" w:sz="0" w:space="0" w:color="auto"/>
                        <w:right w:val="none" w:sz="0" w:space="0" w:color="auto"/>
                      </w:divBdr>
                      <w:divsChild>
                        <w:div w:id="213737609">
                          <w:marLeft w:val="0"/>
                          <w:marRight w:val="0"/>
                          <w:marTop w:val="0"/>
                          <w:marBottom w:val="0"/>
                          <w:divBdr>
                            <w:top w:val="none" w:sz="0" w:space="0" w:color="auto"/>
                            <w:left w:val="none" w:sz="0" w:space="0" w:color="auto"/>
                            <w:bottom w:val="none" w:sz="0" w:space="0" w:color="auto"/>
                            <w:right w:val="none" w:sz="0" w:space="0" w:color="auto"/>
                          </w:divBdr>
                          <w:divsChild>
                            <w:div w:id="1685979587">
                              <w:marLeft w:val="0"/>
                              <w:marRight w:val="0"/>
                              <w:marTop w:val="0"/>
                              <w:marBottom w:val="0"/>
                              <w:divBdr>
                                <w:top w:val="none" w:sz="0" w:space="0" w:color="auto"/>
                                <w:left w:val="none" w:sz="0" w:space="0" w:color="auto"/>
                                <w:bottom w:val="none" w:sz="0" w:space="0" w:color="auto"/>
                                <w:right w:val="none" w:sz="0" w:space="0" w:color="auto"/>
                              </w:divBdr>
                              <w:divsChild>
                                <w:div w:id="372120775">
                                  <w:marLeft w:val="0"/>
                                  <w:marRight w:val="0"/>
                                  <w:marTop w:val="0"/>
                                  <w:marBottom w:val="0"/>
                                  <w:divBdr>
                                    <w:top w:val="none" w:sz="0" w:space="0" w:color="auto"/>
                                    <w:left w:val="none" w:sz="0" w:space="0" w:color="auto"/>
                                    <w:bottom w:val="none" w:sz="0" w:space="0" w:color="auto"/>
                                    <w:right w:val="none" w:sz="0" w:space="0" w:color="auto"/>
                                  </w:divBdr>
                                  <w:divsChild>
                                    <w:div w:id="1823962927">
                                      <w:marLeft w:val="0"/>
                                      <w:marRight w:val="0"/>
                                      <w:marTop w:val="0"/>
                                      <w:marBottom w:val="0"/>
                                      <w:divBdr>
                                        <w:top w:val="none" w:sz="0" w:space="0" w:color="auto"/>
                                        <w:left w:val="none" w:sz="0" w:space="0" w:color="auto"/>
                                        <w:bottom w:val="none" w:sz="0" w:space="0" w:color="auto"/>
                                        <w:right w:val="none" w:sz="0" w:space="0" w:color="auto"/>
                                      </w:divBdr>
                                      <w:divsChild>
                                        <w:div w:id="1280381461">
                                          <w:marLeft w:val="0"/>
                                          <w:marRight w:val="0"/>
                                          <w:marTop w:val="0"/>
                                          <w:marBottom w:val="0"/>
                                          <w:divBdr>
                                            <w:top w:val="none" w:sz="0" w:space="0" w:color="auto"/>
                                            <w:left w:val="none" w:sz="0" w:space="0" w:color="auto"/>
                                            <w:bottom w:val="none" w:sz="0" w:space="0" w:color="auto"/>
                                            <w:right w:val="none" w:sz="0" w:space="0" w:color="auto"/>
                                          </w:divBdr>
                                          <w:divsChild>
                                            <w:div w:id="8584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2727">
      <w:bodyDiv w:val="1"/>
      <w:marLeft w:val="0"/>
      <w:marRight w:val="0"/>
      <w:marTop w:val="0"/>
      <w:marBottom w:val="0"/>
      <w:divBdr>
        <w:top w:val="none" w:sz="0" w:space="0" w:color="auto"/>
        <w:left w:val="none" w:sz="0" w:space="0" w:color="auto"/>
        <w:bottom w:val="none" w:sz="0" w:space="0" w:color="auto"/>
        <w:right w:val="none" w:sz="0" w:space="0" w:color="auto"/>
      </w:divBdr>
    </w:div>
    <w:div w:id="2058384267">
      <w:bodyDiv w:val="1"/>
      <w:marLeft w:val="0"/>
      <w:marRight w:val="0"/>
      <w:marTop w:val="0"/>
      <w:marBottom w:val="0"/>
      <w:divBdr>
        <w:top w:val="none" w:sz="0" w:space="0" w:color="auto"/>
        <w:left w:val="none" w:sz="0" w:space="0" w:color="auto"/>
        <w:bottom w:val="none" w:sz="0" w:space="0" w:color="auto"/>
        <w:right w:val="none" w:sz="0" w:space="0" w:color="auto"/>
      </w:divBdr>
    </w:div>
    <w:div w:id="2064021479">
      <w:bodyDiv w:val="1"/>
      <w:marLeft w:val="0"/>
      <w:marRight w:val="0"/>
      <w:marTop w:val="0"/>
      <w:marBottom w:val="0"/>
      <w:divBdr>
        <w:top w:val="none" w:sz="0" w:space="0" w:color="auto"/>
        <w:left w:val="none" w:sz="0" w:space="0" w:color="auto"/>
        <w:bottom w:val="none" w:sz="0" w:space="0" w:color="auto"/>
        <w:right w:val="none" w:sz="0" w:space="0" w:color="auto"/>
      </w:divBdr>
    </w:div>
    <w:div w:id="2090343653">
      <w:bodyDiv w:val="1"/>
      <w:marLeft w:val="0"/>
      <w:marRight w:val="0"/>
      <w:marTop w:val="0"/>
      <w:marBottom w:val="0"/>
      <w:divBdr>
        <w:top w:val="none" w:sz="0" w:space="0" w:color="auto"/>
        <w:left w:val="none" w:sz="0" w:space="0" w:color="auto"/>
        <w:bottom w:val="none" w:sz="0" w:space="0" w:color="auto"/>
        <w:right w:val="none" w:sz="0" w:space="0" w:color="auto"/>
      </w:divBdr>
    </w:div>
    <w:div w:id="212561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6E8A2-0E78-49EE-B996-815B5E867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6516</Words>
  <Characters>35843</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42275</CharactersWithSpaces>
  <SharedDoc>false</SharedDoc>
  <HLinks>
    <vt:vector size="18" baseType="variant">
      <vt:variant>
        <vt:i4>7012403</vt:i4>
      </vt:variant>
      <vt:variant>
        <vt:i4>6</vt:i4>
      </vt:variant>
      <vt:variant>
        <vt:i4>0</vt:i4>
      </vt:variant>
      <vt:variant>
        <vt:i4>5</vt:i4>
      </vt:variant>
      <vt:variant>
        <vt:lpwstr>http://www.minhacienda.gov.co/HomeMinhacienda/ShowProperty?nodeId=%2FOCS%2FP_MHCP_WCC-062109%2F%2FidcPrimaryFile&amp;revision=latestreleased</vt:lpwstr>
      </vt:variant>
      <vt:variant>
        <vt:lpwstr/>
      </vt:variant>
      <vt:variant>
        <vt:i4>3801132</vt:i4>
      </vt:variant>
      <vt:variant>
        <vt:i4>3</vt:i4>
      </vt:variant>
      <vt:variant>
        <vt:i4>0</vt:i4>
      </vt:variant>
      <vt:variant>
        <vt:i4>5</vt:i4>
      </vt:variant>
      <vt:variant>
        <vt:lpwstr>\\mh-snassa01\mhcp$\DGRESS\SSRP\FONPET</vt:lpwstr>
      </vt:variant>
      <vt:variant>
        <vt:lpwstr/>
      </vt:variant>
      <vt:variant>
        <vt:i4>6553660</vt:i4>
      </vt:variant>
      <vt:variant>
        <vt:i4>0</vt:i4>
      </vt:variant>
      <vt:variant>
        <vt:i4>0</vt:i4>
      </vt:variant>
      <vt:variant>
        <vt:i4>5</vt:i4>
      </vt:variant>
      <vt:variant>
        <vt:lpwstr>http://www.minhacienda.gov.co/HomeMinhacienda/ShowProperty?nodeId=%2FOCS%2FP_MHCP_WCC-065087%2F%2FidcPrimaryFile&amp;revision=latestreleased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Yady Graciela Sanchez Gamboa</dc:creator>
  <cp:keywords/>
  <dc:description/>
  <cp:lastModifiedBy>Angelica Maria Pava Riveros</cp:lastModifiedBy>
  <cp:revision>2</cp:revision>
  <cp:lastPrinted>2020-09-10T13:58:00Z</cp:lastPrinted>
  <dcterms:created xsi:type="dcterms:W3CDTF">2021-09-15T00:56:00Z</dcterms:created>
  <dcterms:modified xsi:type="dcterms:W3CDTF">2021-09-15T00:56:00Z</dcterms:modified>
</cp:coreProperties>
</file>